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E6364" w14:textId="7FD41F2C" w:rsidR="00E57C4E" w:rsidRPr="00A1716E" w:rsidRDefault="00267889" w:rsidP="00A1716E">
      <w:pPr>
        <w:pStyle w:val="Heading2"/>
        <w:numPr>
          <w:ilvl w:val="0"/>
          <w:numId w:val="0"/>
        </w:numPr>
        <w:spacing w:before="0" w:line="276" w:lineRule="auto"/>
        <w:jc w:val="center"/>
        <w:rPr>
          <w:rFonts w:asciiTheme="minorHAnsi" w:eastAsiaTheme="minorHAnsi" w:hAnsiTheme="minorHAnsi" w:cstheme="minorHAnsi"/>
          <w:b/>
          <w:bCs/>
          <w:color w:val="auto"/>
          <w:sz w:val="28"/>
          <w:szCs w:val="28"/>
        </w:rPr>
      </w:pPr>
      <w:r>
        <w:rPr>
          <w:rFonts w:asciiTheme="minorHAnsi" w:eastAsiaTheme="minorHAnsi" w:hAnsiTheme="minorHAnsi" w:cstheme="minorHAnsi"/>
          <w:b/>
          <w:bCs/>
          <w:color w:val="auto"/>
          <w:sz w:val="28"/>
          <w:szCs w:val="28"/>
        </w:rPr>
        <w:t xml:space="preserve">The </w:t>
      </w:r>
      <w:r w:rsidR="00ED2C18" w:rsidRPr="00A1716E">
        <w:rPr>
          <w:rFonts w:asciiTheme="minorHAnsi" w:eastAsiaTheme="minorHAnsi" w:hAnsiTheme="minorHAnsi" w:cstheme="minorHAnsi"/>
          <w:b/>
          <w:bCs/>
          <w:color w:val="auto"/>
          <w:sz w:val="28"/>
          <w:szCs w:val="28"/>
        </w:rPr>
        <w:t xml:space="preserve">EU’s </w:t>
      </w:r>
      <w:r w:rsidR="00F34DCC" w:rsidRPr="00A1716E">
        <w:rPr>
          <w:rFonts w:asciiTheme="minorHAnsi" w:eastAsiaTheme="minorHAnsi" w:hAnsiTheme="minorHAnsi" w:cstheme="minorHAnsi"/>
          <w:b/>
          <w:bCs/>
          <w:color w:val="auto"/>
          <w:sz w:val="28"/>
          <w:szCs w:val="28"/>
        </w:rPr>
        <w:t xml:space="preserve">ETS and </w:t>
      </w:r>
      <w:r w:rsidR="00ED2C18" w:rsidRPr="00A1716E">
        <w:rPr>
          <w:rFonts w:asciiTheme="minorHAnsi" w:eastAsiaTheme="minorHAnsi" w:hAnsiTheme="minorHAnsi" w:cstheme="minorHAnsi"/>
          <w:b/>
          <w:bCs/>
          <w:color w:val="auto"/>
          <w:sz w:val="28"/>
          <w:szCs w:val="28"/>
        </w:rPr>
        <w:t>free</w:t>
      </w:r>
      <w:r w:rsidR="008A0A69" w:rsidRPr="00A1716E">
        <w:rPr>
          <w:rFonts w:asciiTheme="minorHAnsi" w:eastAsiaTheme="minorHAnsi" w:hAnsiTheme="minorHAnsi" w:cstheme="minorHAnsi"/>
          <w:b/>
          <w:bCs/>
          <w:color w:val="auto"/>
          <w:sz w:val="28"/>
          <w:szCs w:val="28"/>
        </w:rPr>
        <w:t xml:space="preserve"> emissions</w:t>
      </w:r>
      <w:r w:rsidR="00ED2C18" w:rsidRPr="00A1716E">
        <w:rPr>
          <w:rFonts w:asciiTheme="minorHAnsi" w:eastAsiaTheme="minorHAnsi" w:hAnsiTheme="minorHAnsi" w:cstheme="minorHAnsi"/>
          <w:b/>
          <w:bCs/>
          <w:color w:val="auto"/>
          <w:sz w:val="28"/>
          <w:szCs w:val="28"/>
        </w:rPr>
        <w:t xml:space="preserve"> allowances – </w:t>
      </w:r>
      <w:r w:rsidR="00F34DCC" w:rsidRPr="00A1716E">
        <w:rPr>
          <w:rFonts w:asciiTheme="minorHAnsi" w:eastAsiaTheme="minorHAnsi" w:hAnsiTheme="minorHAnsi" w:cstheme="minorHAnsi"/>
          <w:b/>
          <w:bCs/>
          <w:color w:val="auto"/>
          <w:sz w:val="28"/>
          <w:szCs w:val="28"/>
        </w:rPr>
        <w:t xml:space="preserve">pitting a </w:t>
      </w:r>
      <w:bookmarkStart w:id="0" w:name="_Hlk159922037"/>
      <w:r w:rsidR="00F34DCC" w:rsidRPr="00A1716E">
        <w:rPr>
          <w:rFonts w:asciiTheme="minorHAnsi" w:eastAsiaTheme="minorHAnsi" w:hAnsiTheme="minorHAnsi" w:cstheme="minorHAnsi"/>
          <w:b/>
          <w:bCs/>
          <w:color w:val="auto"/>
          <w:sz w:val="28"/>
          <w:szCs w:val="28"/>
        </w:rPr>
        <w:t>subsidised</w:t>
      </w:r>
      <w:r w:rsidR="001737E4" w:rsidRPr="00A1716E">
        <w:rPr>
          <w:rFonts w:asciiTheme="minorHAnsi" w:eastAsiaTheme="minorHAnsi" w:hAnsiTheme="minorHAnsi" w:cstheme="minorHAnsi"/>
          <w:b/>
          <w:bCs/>
          <w:color w:val="auto"/>
          <w:sz w:val="28"/>
          <w:szCs w:val="28"/>
        </w:rPr>
        <w:t>,</w:t>
      </w:r>
      <w:r w:rsidR="00F34DCC" w:rsidRPr="00A1716E">
        <w:rPr>
          <w:rFonts w:asciiTheme="minorHAnsi" w:eastAsiaTheme="minorHAnsi" w:hAnsiTheme="minorHAnsi" w:cstheme="minorHAnsi"/>
          <w:b/>
          <w:bCs/>
          <w:color w:val="auto"/>
          <w:sz w:val="28"/>
          <w:szCs w:val="28"/>
        </w:rPr>
        <w:t xml:space="preserve"> evolved</w:t>
      </w:r>
      <w:r w:rsidR="008A0A69" w:rsidRPr="00A1716E">
        <w:rPr>
          <w:rFonts w:asciiTheme="minorHAnsi" w:eastAsiaTheme="minorHAnsi" w:hAnsiTheme="minorHAnsi" w:cstheme="minorHAnsi"/>
          <w:b/>
          <w:bCs/>
          <w:color w:val="auto"/>
          <w:sz w:val="28"/>
          <w:szCs w:val="28"/>
        </w:rPr>
        <w:t xml:space="preserve"> industry</w:t>
      </w:r>
      <w:bookmarkEnd w:id="0"/>
      <w:r w:rsidR="008A0A69" w:rsidRPr="00A1716E">
        <w:rPr>
          <w:rFonts w:asciiTheme="minorHAnsi" w:eastAsiaTheme="minorHAnsi" w:hAnsiTheme="minorHAnsi" w:cstheme="minorHAnsi"/>
          <w:b/>
          <w:bCs/>
          <w:color w:val="auto"/>
          <w:sz w:val="28"/>
          <w:szCs w:val="28"/>
        </w:rPr>
        <w:t xml:space="preserve"> against </w:t>
      </w:r>
      <w:r w:rsidR="00F34DCC" w:rsidRPr="00A1716E">
        <w:rPr>
          <w:rFonts w:asciiTheme="minorHAnsi" w:eastAsiaTheme="minorHAnsi" w:hAnsiTheme="minorHAnsi" w:cstheme="minorHAnsi"/>
          <w:b/>
          <w:bCs/>
          <w:color w:val="auto"/>
          <w:sz w:val="28"/>
          <w:szCs w:val="28"/>
        </w:rPr>
        <w:t>greenhorns</w:t>
      </w:r>
    </w:p>
    <w:p w14:paraId="20166546" w14:textId="77777777" w:rsidR="00E57C4E" w:rsidRDefault="00E57C4E" w:rsidP="00A1716E">
      <w:pPr>
        <w:pStyle w:val="Heading2"/>
        <w:numPr>
          <w:ilvl w:val="0"/>
          <w:numId w:val="0"/>
        </w:numPr>
        <w:spacing w:before="0" w:line="276" w:lineRule="auto"/>
        <w:ind w:left="1002" w:hanging="576"/>
        <w:rPr>
          <w:rFonts w:asciiTheme="minorHAnsi" w:eastAsiaTheme="minorHAnsi" w:hAnsiTheme="minorHAnsi" w:cstheme="minorHAnsi"/>
          <w:i/>
          <w:iCs/>
          <w:color w:val="auto"/>
          <w:sz w:val="24"/>
          <w:szCs w:val="24"/>
        </w:rPr>
      </w:pPr>
    </w:p>
    <w:p w14:paraId="1480E6E9" w14:textId="77777777" w:rsidR="00A1716E" w:rsidRPr="00A1716E" w:rsidRDefault="00A1716E" w:rsidP="00A1716E">
      <w:pPr>
        <w:spacing w:after="0" w:line="276" w:lineRule="auto"/>
        <w:jc w:val="center"/>
        <w:rPr>
          <w:rFonts w:cstheme="minorHAnsi"/>
          <w:i/>
          <w:iCs/>
          <w:sz w:val="24"/>
          <w:szCs w:val="24"/>
        </w:rPr>
      </w:pPr>
      <w:r w:rsidRPr="00A1716E">
        <w:rPr>
          <w:rFonts w:cstheme="minorHAnsi"/>
          <w:i/>
          <w:iCs/>
          <w:sz w:val="24"/>
          <w:szCs w:val="24"/>
        </w:rPr>
        <w:t>Sangeeta Godbole</w:t>
      </w:r>
    </w:p>
    <w:p w14:paraId="46C1D122" w14:textId="77777777" w:rsidR="00A1716E" w:rsidRPr="00A1716E" w:rsidRDefault="00A1716E" w:rsidP="00A1716E">
      <w:pPr>
        <w:spacing w:after="0"/>
      </w:pPr>
    </w:p>
    <w:p w14:paraId="5E7E27A6" w14:textId="6922C787" w:rsidR="00EE2E82" w:rsidRPr="00EE2E82" w:rsidRDefault="00B138EA" w:rsidP="00A1716E">
      <w:pPr>
        <w:spacing w:after="0" w:line="276" w:lineRule="auto"/>
        <w:jc w:val="both"/>
        <w:rPr>
          <w:rFonts w:cstheme="minorHAnsi"/>
          <w:sz w:val="24"/>
          <w:szCs w:val="24"/>
        </w:rPr>
      </w:pPr>
      <w:r w:rsidRPr="0089635F">
        <w:rPr>
          <w:rFonts w:cstheme="minorHAnsi"/>
          <w:sz w:val="24"/>
          <w:szCs w:val="24"/>
        </w:rPr>
        <w:t>The</w:t>
      </w:r>
      <w:r w:rsidR="002529C0">
        <w:rPr>
          <w:rFonts w:cstheme="minorHAnsi"/>
          <w:sz w:val="24"/>
          <w:szCs w:val="24"/>
        </w:rPr>
        <w:t xml:space="preserve"> </w:t>
      </w:r>
      <w:r w:rsidR="003F78FC">
        <w:rPr>
          <w:rFonts w:cstheme="minorHAnsi"/>
          <w:sz w:val="24"/>
          <w:szCs w:val="24"/>
        </w:rPr>
        <w:t>European Union’s</w:t>
      </w:r>
      <w:r w:rsidR="002529C0">
        <w:rPr>
          <w:rFonts w:cstheme="minorHAnsi"/>
          <w:sz w:val="24"/>
          <w:szCs w:val="24"/>
        </w:rPr>
        <w:t xml:space="preserve"> Emissions Trading System (</w:t>
      </w:r>
      <w:r w:rsidRPr="0089635F">
        <w:rPr>
          <w:rFonts w:cstheme="minorHAnsi"/>
          <w:sz w:val="24"/>
          <w:szCs w:val="24"/>
        </w:rPr>
        <w:t>ETS</w:t>
      </w:r>
      <w:r w:rsidR="002529C0">
        <w:rPr>
          <w:rFonts w:cstheme="minorHAnsi"/>
          <w:sz w:val="24"/>
          <w:szCs w:val="24"/>
        </w:rPr>
        <w:t>)</w:t>
      </w:r>
      <w:r w:rsidRPr="0089635F">
        <w:rPr>
          <w:rFonts w:cstheme="minorHAnsi"/>
          <w:sz w:val="24"/>
          <w:szCs w:val="24"/>
        </w:rPr>
        <w:t xml:space="preserve"> is the principle and the architecture based on which the EU will implement</w:t>
      </w:r>
      <w:r w:rsidR="002529C0">
        <w:rPr>
          <w:rFonts w:cstheme="minorHAnsi"/>
          <w:sz w:val="24"/>
          <w:szCs w:val="24"/>
        </w:rPr>
        <w:t xml:space="preserve"> its Carbon Border Adjustment Mechanism (</w:t>
      </w:r>
      <w:r w:rsidRPr="0089635F">
        <w:rPr>
          <w:rFonts w:cstheme="minorHAnsi"/>
          <w:sz w:val="24"/>
          <w:szCs w:val="24"/>
        </w:rPr>
        <w:t>CBAM</w:t>
      </w:r>
      <w:r w:rsidR="002529C0">
        <w:rPr>
          <w:rFonts w:cstheme="minorHAnsi"/>
          <w:sz w:val="24"/>
          <w:szCs w:val="24"/>
        </w:rPr>
        <w:t>)</w:t>
      </w:r>
      <w:r w:rsidRPr="0089635F">
        <w:rPr>
          <w:rFonts w:cstheme="minorHAnsi"/>
          <w:sz w:val="24"/>
          <w:szCs w:val="24"/>
        </w:rPr>
        <w:t xml:space="preserve">. </w:t>
      </w:r>
      <w:r w:rsidR="00EE2E82">
        <w:rPr>
          <w:rFonts w:cstheme="minorHAnsi"/>
          <w:sz w:val="24"/>
          <w:szCs w:val="24"/>
        </w:rPr>
        <w:t>E</w:t>
      </w:r>
      <w:r w:rsidR="00EE2E82" w:rsidRPr="0089635F">
        <w:rPr>
          <w:rFonts w:cstheme="minorHAnsi"/>
          <w:sz w:val="24"/>
          <w:szCs w:val="24"/>
        </w:rPr>
        <w:t>stablishing an ETS</w:t>
      </w:r>
      <w:r w:rsidR="005F78F0">
        <w:rPr>
          <w:rFonts w:cstheme="minorHAnsi"/>
          <w:sz w:val="24"/>
          <w:szCs w:val="24"/>
        </w:rPr>
        <w:t>,</w:t>
      </w:r>
      <w:r w:rsidR="00EE2E82" w:rsidRPr="0089635F">
        <w:rPr>
          <w:rFonts w:cstheme="minorHAnsi"/>
          <w:sz w:val="24"/>
          <w:szCs w:val="24"/>
        </w:rPr>
        <w:t xml:space="preserve"> which is </w:t>
      </w:r>
      <w:r w:rsidR="00742E33">
        <w:rPr>
          <w:rFonts w:cstheme="minorHAnsi"/>
          <w:sz w:val="24"/>
          <w:szCs w:val="24"/>
        </w:rPr>
        <w:t>one of the two main types of explicit</w:t>
      </w:r>
      <w:r w:rsidR="00EE2E82" w:rsidRPr="0089635F">
        <w:rPr>
          <w:rFonts w:cstheme="minorHAnsi"/>
          <w:sz w:val="24"/>
          <w:szCs w:val="24"/>
        </w:rPr>
        <w:t xml:space="preserve"> carbon pricing </w:t>
      </w:r>
      <w:r w:rsidR="00742E33">
        <w:rPr>
          <w:rFonts w:cstheme="minorHAnsi"/>
          <w:sz w:val="24"/>
          <w:szCs w:val="24"/>
        </w:rPr>
        <w:t xml:space="preserve">mechanism (the other being carbon-based </w:t>
      </w:r>
      <w:r w:rsidR="008C09AE">
        <w:rPr>
          <w:rFonts w:cstheme="minorHAnsi"/>
          <w:sz w:val="24"/>
          <w:szCs w:val="24"/>
        </w:rPr>
        <w:t xml:space="preserve">fees or </w:t>
      </w:r>
      <w:r w:rsidR="00742E33">
        <w:rPr>
          <w:rFonts w:cstheme="minorHAnsi"/>
          <w:sz w:val="24"/>
          <w:szCs w:val="24"/>
        </w:rPr>
        <w:t>taxes)</w:t>
      </w:r>
      <w:r w:rsidR="005F78F0">
        <w:rPr>
          <w:rFonts w:cstheme="minorHAnsi"/>
          <w:sz w:val="24"/>
          <w:szCs w:val="24"/>
        </w:rPr>
        <w:t>,</w:t>
      </w:r>
      <w:r w:rsidR="00742E33">
        <w:rPr>
          <w:rFonts w:cstheme="minorHAnsi"/>
          <w:sz w:val="24"/>
          <w:szCs w:val="24"/>
        </w:rPr>
        <w:t xml:space="preserve"> </w:t>
      </w:r>
      <w:r w:rsidR="00EE2E82" w:rsidRPr="0089635F">
        <w:rPr>
          <w:rFonts w:cstheme="minorHAnsi"/>
          <w:sz w:val="24"/>
          <w:szCs w:val="24"/>
        </w:rPr>
        <w:t xml:space="preserve">has taken </w:t>
      </w:r>
      <w:r w:rsidR="003F78FC">
        <w:rPr>
          <w:rFonts w:cstheme="minorHAnsi"/>
          <w:sz w:val="24"/>
          <w:szCs w:val="24"/>
        </w:rPr>
        <w:t xml:space="preserve">the </w:t>
      </w:r>
      <w:r w:rsidR="00EE2E82" w:rsidRPr="0089635F">
        <w:rPr>
          <w:rFonts w:cstheme="minorHAnsi"/>
          <w:sz w:val="24"/>
          <w:szCs w:val="24"/>
        </w:rPr>
        <w:t xml:space="preserve">EU </w:t>
      </w:r>
      <w:r w:rsidR="008D6781">
        <w:rPr>
          <w:rFonts w:cstheme="minorHAnsi"/>
          <w:sz w:val="24"/>
          <w:szCs w:val="24"/>
        </w:rPr>
        <w:t>over</w:t>
      </w:r>
      <w:r w:rsidR="00EE2E82" w:rsidRPr="0089635F">
        <w:rPr>
          <w:rFonts w:cstheme="minorHAnsi"/>
          <w:sz w:val="24"/>
          <w:szCs w:val="24"/>
        </w:rPr>
        <w:t xml:space="preserve"> two decades</w:t>
      </w:r>
      <w:r w:rsidR="00F02657">
        <w:rPr>
          <w:rFonts w:cstheme="minorHAnsi"/>
          <w:sz w:val="24"/>
          <w:szCs w:val="24"/>
        </w:rPr>
        <w:t xml:space="preserve"> and required</w:t>
      </w:r>
      <w:r w:rsidR="00EE2E82" w:rsidRPr="0089635F">
        <w:rPr>
          <w:rFonts w:cstheme="minorHAnsi"/>
          <w:sz w:val="24"/>
          <w:szCs w:val="24"/>
        </w:rPr>
        <w:t xml:space="preserve"> </w:t>
      </w:r>
      <w:r w:rsidR="00F02657">
        <w:rPr>
          <w:rFonts w:cstheme="minorHAnsi"/>
          <w:sz w:val="24"/>
          <w:szCs w:val="24"/>
        </w:rPr>
        <w:t xml:space="preserve">a </w:t>
      </w:r>
      <w:r w:rsidR="00EE2E82" w:rsidRPr="0089635F">
        <w:rPr>
          <w:rFonts w:cstheme="minorHAnsi"/>
          <w:sz w:val="24"/>
          <w:szCs w:val="24"/>
        </w:rPr>
        <w:t xml:space="preserve">large </w:t>
      </w:r>
      <w:r w:rsidR="00F02657">
        <w:rPr>
          <w:rFonts w:cstheme="minorHAnsi"/>
          <w:sz w:val="24"/>
          <w:szCs w:val="24"/>
        </w:rPr>
        <w:t xml:space="preserve">outlay of </w:t>
      </w:r>
      <w:r w:rsidR="00EE2E82" w:rsidRPr="0089635F">
        <w:rPr>
          <w:rFonts w:cstheme="minorHAnsi"/>
          <w:sz w:val="24"/>
          <w:szCs w:val="24"/>
        </w:rPr>
        <w:t>financial resources and a consistent capacity</w:t>
      </w:r>
      <w:r w:rsidR="00F02657">
        <w:rPr>
          <w:rFonts w:cstheme="minorHAnsi"/>
          <w:sz w:val="24"/>
          <w:szCs w:val="24"/>
        </w:rPr>
        <w:t>-</w:t>
      </w:r>
      <w:r w:rsidR="00EE2E82" w:rsidRPr="0089635F">
        <w:rPr>
          <w:rFonts w:cstheme="minorHAnsi"/>
          <w:sz w:val="24"/>
          <w:szCs w:val="24"/>
        </w:rPr>
        <w:t>building and monitoring exercise</w:t>
      </w:r>
      <w:r w:rsidR="00EE2E82" w:rsidRPr="0089635F">
        <w:rPr>
          <w:rFonts w:cstheme="minorHAnsi"/>
          <w:i/>
          <w:iCs/>
          <w:sz w:val="24"/>
          <w:szCs w:val="24"/>
        </w:rPr>
        <w:t xml:space="preserve">. </w:t>
      </w:r>
    </w:p>
    <w:p w14:paraId="11EADE3A" w14:textId="77777777" w:rsidR="00A1716E" w:rsidRDefault="00A1716E" w:rsidP="00A1716E">
      <w:pPr>
        <w:spacing w:after="0" w:line="276" w:lineRule="auto"/>
        <w:jc w:val="both"/>
        <w:rPr>
          <w:rFonts w:cstheme="minorHAnsi"/>
          <w:sz w:val="24"/>
          <w:szCs w:val="24"/>
        </w:rPr>
      </w:pPr>
    </w:p>
    <w:p w14:paraId="739256EE" w14:textId="2464F8CC" w:rsidR="00B138EA" w:rsidRDefault="00F02657" w:rsidP="00A1716E">
      <w:pPr>
        <w:spacing w:after="0" w:line="276" w:lineRule="auto"/>
        <w:jc w:val="both"/>
        <w:rPr>
          <w:rFonts w:cstheme="minorHAnsi"/>
          <w:sz w:val="24"/>
          <w:szCs w:val="24"/>
        </w:rPr>
      </w:pPr>
      <w:r>
        <w:rPr>
          <w:rFonts w:cstheme="minorHAnsi"/>
          <w:sz w:val="24"/>
          <w:szCs w:val="24"/>
        </w:rPr>
        <w:t xml:space="preserve">The </w:t>
      </w:r>
      <w:r w:rsidR="00EE2E82" w:rsidRPr="009044CC">
        <w:rPr>
          <w:rFonts w:cstheme="minorHAnsi"/>
          <w:sz w:val="24"/>
          <w:szCs w:val="24"/>
        </w:rPr>
        <w:t>E</w:t>
      </w:r>
      <w:r w:rsidR="00BA1E51">
        <w:rPr>
          <w:rFonts w:cstheme="minorHAnsi"/>
          <w:sz w:val="24"/>
          <w:szCs w:val="24"/>
        </w:rPr>
        <w:t>TS</w:t>
      </w:r>
      <w:r w:rsidR="00EE2E82" w:rsidRPr="009044CC">
        <w:rPr>
          <w:rFonts w:cstheme="minorHAnsi"/>
          <w:sz w:val="24"/>
          <w:szCs w:val="24"/>
        </w:rPr>
        <w:t xml:space="preserve"> has taken shape gradually, beginning with free allowances for emissions and a gradual tightening of available emissions thresholds. </w:t>
      </w:r>
      <w:r w:rsidR="00B138EA" w:rsidRPr="0089635F">
        <w:rPr>
          <w:rFonts w:cstheme="minorHAnsi"/>
          <w:sz w:val="24"/>
          <w:szCs w:val="24"/>
        </w:rPr>
        <w:t>The common objective of reducing carbon emissions through setting emission</w:t>
      </w:r>
      <w:r>
        <w:rPr>
          <w:rFonts w:cstheme="minorHAnsi"/>
          <w:sz w:val="24"/>
          <w:szCs w:val="24"/>
        </w:rPr>
        <w:t>s</w:t>
      </w:r>
      <w:r w:rsidR="00B138EA" w:rsidRPr="0089635F">
        <w:rPr>
          <w:rFonts w:cstheme="minorHAnsi"/>
          <w:sz w:val="24"/>
          <w:szCs w:val="24"/>
        </w:rPr>
        <w:t xml:space="preserve"> thresholds </w:t>
      </w:r>
      <w:r w:rsidR="008D6781">
        <w:rPr>
          <w:rFonts w:cstheme="minorHAnsi"/>
          <w:sz w:val="24"/>
          <w:szCs w:val="24"/>
        </w:rPr>
        <w:t>and</w:t>
      </w:r>
      <w:r w:rsidR="00B138EA" w:rsidRPr="0089635F">
        <w:rPr>
          <w:rFonts w:cstheme="minorHAnsi"/>
          <w:sz w:val="24"/>
          <w:szCs w:val="24"/>
        </w:rPr>
        <w:t xml:space="preserve"> emissions caps binds the </w:t>
      </w:r>
      <w:r w:rsidR="00EE2E82">
        <w:rPr>
          <w:rFonts w:cstheme="minorHAnsi"/>
          <w:sz w:val="24"/>
          <w:szCs w:val="24"/>
        </w:rPr>
        <w:t xml:space="preserve">ETS and </w:t>
      </w:r>
      <w:r>
        <w:rPr>
          <w:rFonts w:cstheme="minorHAnsi"/>
          <w:sz w:val="24"/>
          <w:szCs w:val="24"/>
        </w:rPr>
        <w:t xml:space="preserve">the </w:t>
      </w:r>
      <w:r w:rsidR="00EE2E82">
        <w:rPr>
          <w:rFonts w:cstheme="minorHAnsi"/>
          <w:sz w:val="24"/>
          <w:szCs w:val="24"/>
        </w:rPr>
        <w:t>CBAM</w:t>
      </w:r>
      <w:r w:rsidR="00B138EA" w:rsidRPr="0089635F">
        <w:rPr>
          <w:rFonts w:cstheme="minorHAnsi"/>
          <w:sz w:val="24"/>
          <w:szCs w:val="24"/>
        </w:rPr>
        <w:t>.</w:t>
      </w:r>
      <w:r w:rsidR="00EE2E82">
        <w:rPr>
          <w:rFonts w:cstheme="minorHAnsi"/>
          <w:sz w:val="24"/>
          <w:szCs w:val="24"/>
        </w:rPr>
        <w:t xml:space="preserve"> </w:t>
      </w:r>
      <w:r>
        <w:rPr>
          <w:rFonts w:cstheme="minorHAnsi"/>
          <w:sz w:val="24"/>
          <w:szCs w:val="24"/>
        </w:rPr>
        <w:t>The</w:t>
      </w:r>
      <w:r w:rsidR="00B138EA" w:rsidRPr="0089635F">
        <w:rPr>
          <w:rFonts w:cstheme="minorHAnsi"/>
          <w:sz w:val="24"/>
          <w:szCs w:val="24"/>
        </w:rPr>
        <w:t xml:space="preserve"> ETS sets the total number of allowances issued</w:t>
      </w:r>
      <w:r w:rsidR="00EC1D5F">
        <w:rPr>
          <w:rFonts w:cstheme="minorHAnsi"/>
          <w:sz w:val="24"/>
          <w:szCs w:val="24"/>
        </w:rPr>
        <w:t xml:space="preserve"> </w:t>
      </w:r>
      <w:r>
        <w:rPr>
          <w:rFonts w:cstheme="minorHAnsi"/>
          <w:sz w:val="24"/>
          <w:szCs w:val="24"/>
        </w:rPr>
        <w:t xml:space="preserve">– </w:t>
      </w:r>
      <w:r w:rsidR="00B138EA" w:rsidRPr="0089635F">
        <w:rPr>
          <w:rFonts w:cstheme="minorHAnsi"/>
          <w:sz w:val="24"/>
          <w:szCs w:val="24"/>
        </w:rPr>
        <w:t xml:space="preserve">the ‘cap’ </w:t>
      </w:r>
      <w:r>
        <w:rPr>
          <w:rFonts w:cstheme="minorHAnsi"/>
          <w:sz w:val="24"/>
          <w:szCs w:val="24"/>
        </w:rPr>
        <w:t xml:space="preserve">– </w:t>
      </w:r>
      <w:r w:rsidR="00B138EA" w:rsidRPr="0089635F">
        <w:rPr>
          <w:rFonts w:cstheme="minorHAnsi"/>
          <w:sz w:val="24"/>
          <w:szCs w:val="24"/>
        </w:rPr>
        <w:t>on the greenhouse gas emissions from activities within its scope and allows trading of allowances</w:t>
      </w:r>
      <w:r w:rsidR="00446EE2">
        <w:rPr>
          <w:rFonts w:cstheme="minorHAnsi"/>
          <w:sz w:val="24"/>
          <w:szCs w:val="24"/>
        </w:rPr>
        <w:t xml:space="preserve">. It is therefore called </w:t>
      </w:r>
      <w:r w:rsidR="00B138EA" w:rsidRPr="0089635F">
        <w:rPr>
          <w:rFonts w:cstheme="minorHAnsi"/>
          <w:sz w:val="24"/>
          <w:szCs w:val="24"/>
        </w:rPr>
        <w:t xml:space="preserve">the ‘cap and trade system’. </w:t>
      </w:r>
      <w:r w:rsidR="00B138EA">
        <w:rPr>
          <w:rFonts w:cstheme="minorHAnsi"/>
          <w:sz w:val="24"/>
          <w:szCs w:val="24"/>
        </w:rPr>
        <w:t xml:space="preserve">The emissions caps </w:t>
      </w:r>
      <w:r>
        <w:rPr>
          <w:rFonts w:cstheme="minorHAnsi"/>
          <w:sz w:val="24"/>
          <w:szCs w:val="24"/>
        </w:rPr>
        <w:t xml:space="preserve">were </w:t>
      </w:r>
      <w:r w:rsidR="00B138EA">
        <w:rPr>
          <w:rFonts w:cstheme="minorHAnsi"/>
          <w:sz w:val="24"/>
          <w:szCs w:val="24"/>
        </w:rPr>
        <w:t xml:space="preserve">reduced gradually from 2.08 billion allowances in 2013 to 1.57 billion allowances in 2021. </w:t>
      </w:r>
    </w:p>
    <w:p w14:paraId="39FEB829" w14:textId="77777777" w:rsidR="00A1716E" w:rsidRDefault="00A1716E" w:rsidP="00A1716E">
      <w:pPr>
        <w:spacing w:after="0" w:line="276" w:lineRule="auto"/>
        <w:jc w:val="both"/>
        <w:rPr>
          <w:rFonts w:cstheme="minorHAnsi"/>
          <w:sz w:val="24"/>
          <w:szCs w:val="24"/>
        </w:rPr>
      </w:pPr>
    </w:p>
    <w:p w14:paraId="501DD794" w14:textId="4338E6DC" w:rsidR="00B138EA" w:rsidRDefault="00B138EA" w:rsidP="00A1716E">
      <w:pPr>
        <w:spacing w:after="0" w:line="276" w:lineRule="auto"/>
        <w:jc w:val="both"/>
        <w:rPr>
          <w:rFonts w:cstheme="minorHAnsi"/>
          <w:sz w:val="24"/>
          <w:szCs w:val="24"/>
        </w:rPr>
      </w:pPr>
      <w:r w:rsidRPr="0089635F">
        <w:rPr>
          <w:rFonts w:cstheme="minorHAnsi"/>
          <w:sz w:val="24"/>
          <w:szCs w:val="24"/>
        </w:rPr>
        <w:t xml:space="preserve">The current ETS covers electricity and heat generation, energy-intensive industry sectors, including oil refineries, steel works, and production of iron, aluminium, metals, cement, lime, glass, ceramics, pulp, paper, cardboard, acids and bulk organic chemicals, and aviation within the European Economic Area. However, </w:t>
      </w:r>
      <w:r w:rsidR="00F02657">
        <w:rPr>
          <w:rFonts w:cstheme="minorHAnsi"/>
          <w:sz w:val="24"/>
          <w:szCs w:val="24"/>
        </w:rPr>
        <w:t xml:space="preserve">the </w:t>
      </w:r>
      <w:r w:rsidRPr="0089635F">
        <w:rPr>
          <w:rFonts w:cstheme="minorHAnsi"/>
          <w:sz w:val="24"/>
          <w:szCs w:val="24"/>
        </w:rPr>
        <w:t xml:space="preserve">CBAM </w:t>
      </w:r>
      <w:r w:rsidR="007166D3">
        <w:rPr>
          <w:rFonts w:cstheme="minorHAnsi"/>
          <w:sz w:val="24"/>
          <w:szCs w:val="24"/>
        </w:rPr>
        <w:t xml:space="preserve">currently covers only </w:t>
      </w:r>
      <w:r w:rsidR="00F25FBE">
        <w:rPr>
          <w:rFonts w:cstheme="minorHAnsi"/>
          <w:sz w:val="24"/>
          <w:szCs w:val="24"/>
        </w:rPr>
        <w:t xml:space="preserve">five </w:t>
      </w:r>
      <w:r w:rsidR="007166D3">
        <w:rPr>
          <w:rFonts w:cstheme="minorHAnsi"/>
          <w:sz w:val="24"/>
          <w:szCs w:val="24"/>
        </w:rPr>
        <w:t xml:space="preserve">sectors </w:t>
      </w:r>
      <w:r w:rsidR="00F25FBE">
        <w:rPr>
          <w:rFonts w:cstheme="minorHAnsi"/>
          <w:sz w:val="24"/>
          <w:szCs w:val="24"/>
        </w:rPr>
        <w:t>that are covered by the ETS (</w:t>
      </w:r>
      <w:r w:rsidR="007166D3">
        <w:rPr>
          <w:rFonts w:cstheme="minorHAnsi"/>
          <w:sz w:val="24"/>
          <w:szCs w:val="24"/>
        </w:rPr>
        <w:t xml:space="preserve">iron and steel, aluminium, cement, fertilisers, </w:t>
      </w:r>
      <w:r w:rsidR="00F25FBE">
        <w:rPr>
          <w:rFonts w:cstheme="minorHAnsi"/>
          <w:sz w:val="24"/>
          <w:szCs w:val="24"/>
        </w:rPr>
        <w:t xml:space="preserve">and </w:t>
      </w:r>
      <w:r w:rsidR="007166D3">
        <w:rPr>
          <w:rFonts w:cstheme="minorHAnsi"/>
          <w:sz w:val="24"/>
          <w:szCs w:val="24"/>
        </w:rPr>
        <w:t>electricity</w:t>
      </w:r>
      <w:r w:rsidR="00F25FBE">
        <w:rPr>
          <w:rFonts w:cstheme="minorHAnsi"/>
          <w:sz w:val="24"/>
          <w:szCs w:val="24"/>
        </w:rPr>
        <w:t>),</w:t>
      </w:r>
      <w:r w:rsidR="007166D3" w:rsidRPr="0089635F">
        <w:rPr>
          <w:rFonts w:cstheme="minorHAnsi"/>
          <w:sz w:val="24"/>
          <w:szCs w:val="24"/>
        </w:rPr>
        <w:t xml:space="preserve"> </w:t>
      </w:r>
      <w:r w:rsidR="00F25FBE">
        <w:rPr>
          <w:rFonts w:cstheme="minorHAnsi"/>
          <w:sz w:val="24"/>
          <w:szCs w:val="24"/>
        </w:rPr>
        <w:t xml:space="preserve">as well as </w:t>
      </w:r>
      <w:r w:rsidR="00F02657">
        <w:rPr>
          <w:rFonts w:cstheme="minorHAnsi"/>
          <w:sz w:val="24"/>
          <w:szCs w:val="24"/>
        </w:rPr>
        <w:t>the h</w:t>
      </w:r>
      <w:r w:rsidRPr="0089635F">
        <w:rPr>
          <w:rFonts w:cstheme="minorHAnsi"/>
          <w:sz w:val="24"/>
          <w:szCs w:val="24"/>
        </w:rPr>
        <w:t>ydrogen</w:t>
      </w:r>
      <w:r w:rsidR="00F02657">
        <w:rPr>
          <w:rFonts w:cstheme="minorHAnsi"/>
          <w:sz w:val="24"/>
          <w:szCs w:val="24"/>
        </w:rPr>
        <w:t xml:space="preserve"> sector</w:t>
      </w:r>
      <w:r w:rsidRPr="0089635F">
        <w:rPr>
          <w:rFonts w:cstheme="minorHAnsi"/>
          <w:sz w:val="24"/>
          <w:szCs w:val="24"/>
        </w:rPr>
        <w:t>, which is not covered by the ETS.</w:t>
      </w:r>
    </w:p>
    <w:p w14:paraId="46663862" w14:textId="77777777" w:rsidR="00E711DE" w:rsidRPr="0089635F" w:rsidRDefault="00E711DE" w:rsidP="00A1716E">
      <w:pPr>
        <w:spacing w:after="0" w:line="276" w:lineRule="auto"/>
        <w:jc w:val="both"/>
        <w:rPr>
          <w:rFonts w:cstheme="minorHAnsi"/>
          <w:sz w:val="24"/>
          <w:szCs w:val="24"/>
        </w:rPr>
      </w:pPr>
    </w:p>
    <w:p w14:paraId="7A74D454" w14:textId="312A19FE" w:rsidR="002529C0" w:rsidRDefault="00B138EA" w:rsidP="00A1716E">
      <w:pPr>
        <w:spacing w:after="0" w:line="276" w:lineRule="auto"/>
        <w:jc w:val="both"/>
        <w:rPr>
          <w:rFonts w:cstheme="minorHAnsi"/>
          <w:sz w:val="24"/>
          <w:szCs w:val="24"/>
        </w:rPr>
      </w:pPr>
      <w:r w:rsidRPr="0089635F">
        <w:rPr>
          <w:rFonts w:cstheme="minorHAnsi"/>
          <w:sz w:val="24"/>
          <w:szCs w:val="24"/>
        </w:rPr>
        <w:t>The ETS evolved over two decades</w:t>
      </w:r>
      <w:r w:rsidR="00825B67">
        <w:rPr>
          <w:rFonts w:cstheme="minorHAnsi"/>
          <w:sz w:val="24"/>
          <w:szCs w:val="24"/>
        </w:rPr>
        <w:t>.</w:t>
      </w:r>
      <w:r w:rsidRPr="0089635F">
        <w:rPr>
          <w:rFonts w:cstheme="minorHAnsi"/>
          <w:sz w:val="24"/>
          <w:szCs w:val="24"/>
        </w:rPr>
        <w:t xml:space="preserve"> </w:t>
      </w:r>
      <w:hyperlink r:id="rId6" w:history="1">
        <w:r w:rsidR="00825B67">
          <w:rPr>
            <w:rStyle w:val="Hyperlink"/>
            <w:rFonts w:cstheme="minorHAnsi"/>
            <w:sz w:val="24"/>
            <w:szCs w:val="24"/>
          </w:rPr>
          <w:t>A</w:t>
        </w:r>
        <w:r w:rsidRPr="00EC1D5F">
          <w:rPr>
            <w:rStyle w:val="Hyperlink"/>
            <w:rFonts w:cstheme="minorHAnsi"/>
            <w:sz w:val="24"/>
            <w:szCs w:val="24"/>
          </w:rPr>
          <w:t xml:space="preserve"> </w:t>
        </w:r>
        <w:r w:rsidR="00F02657">
          <w:rPr>
            <w:rStyle w:val="Hyperlink"/>
            <w:rFonts w:cstheme="minorHAnsi"/>
            <w:sz w:val="24"/>
            <w:szCs w:val="24"/>
          </w:rPr>
          <w:t>G</w:t>
        </w:r>
        <w:r w:rsidRPr="00EC1D5F">
          <w:rPr>
            <w:rStyle w:val="Hyperlink"/>
            <w:rFonts w:cstheme="minorHAnsi"/>
            <w:sz w:val="24"/>
            <w:szCs w:val="24"/>
          </w:rPr>
          <w:t xml:space="preserve">reen </w:t>
        </w:r>
        <w:r w:rsidR="00F02657">
          <w:rPr>
            <w:rStyle w:val="Hyperlink"/>
            <w:rFonts w:cstheme="minorHAnsi"/>
            <w:sz w:val="24"/>
            <w:szCs w:val="24"/>
          </w:rPr>
          <w:t>P</w:t>
        </w:r>
        <w:r w:rsidRPr="00EC1D5F">
          <w:rPr>
            <w:rStyle w:val="Hyperlink"/>
            <w:rFonts w:cstheme="minorHAnsi"/>
            <w:sz w:val="24"/>
            <w:szCs w:val="24"/>
          </w:rPr>
          <w:t xml:space="preserve">aper published </w:t>
        </w:r>
        <w:r w:rsidR="00825B67">
          <w:rPr>
            <w:rStyle w:val="Hyperlink"/>
            <w:rFonts w:cstheme="minorHAnsi"/>
            <w:sz w:val="24"/>
            <w:szCs w:val="24"/>
          </w:rPr>
          <w:t xml:space="preserve">by the European Commission </w:t>
        </w:r>
        <w:r w:rsidRPr="00EC1D5F">
          <w:rPr>
            <w:rStyle w:val="Hyperlink"/>
            <w:rFonts w:cstheme="minorHAnsi"/>
            <w:sz w:val="24"/>
            <w:szCs w:val="24"/>
          </w:rPr>
          <w:t>in March 2000</w:t>
        </w:r>
      </w:hyperlink>
      <w:r w:rsidRPr="0089635F">
        <w:rPr>
          <w:rFonts w:cstheme="minorHAnsi"/>
          <w:sz w:val="24"/>
          <w:szCs w:val="24"/>
        </w:rPr>
        <w:t xml:space="preserve"> set out the </w:t>
      </w:r>
      <w:r w:rsidR="00024C24">
        <w:rPr>
          <w:rFonts w:cstheme="minorHAnsi"/>
          <w:sz w:val="24"/>
          <w:szCs w:val="24"/>
        </w:rPr>
        <w:t>rationale</w:t>
      </w:r>
      <w:r w:rsidRPr="0089635F">
        <w:rPr>
          <w:rFonts w:cstheme="minorHAnsi"/>
          <w:sz w:val="24"/>
          <w:szCs w:val="24"/>
        </w:rPr>
        <w:t xml:space="preserve"> for an emissions trading system and its benefits for tackling climate change </w:t>
      </w:r>
      <w:r w:rsidR="00900D2B">
        <w:rPr>
          <w:rFonts w:cstheme="minorHAnsi"/>
          <w:sz w:val="24"/>
          <w:szCs w:val="24"/>
        </w:rPr>
        <w:t>in view of</w:t>
      </w:r>
      <w:r w:rsidRPr="0089635F">
        <w:rPr>
          <w:rFonts w:cstheme="minorHAnsi"/>
          <w:sz w:val="24"/>
          <w:szCs w:val="24"/>
        </w:rPr>
        <w:t xml:space="preserve"> </w:t>
      </w:r>
      <w:r w:rsidR="00825B67">
        <w:rPr>
          <w:rFonts w:cstheme="minorHAnsi"/>
          <w:sz w:val="24"/>
          <w:szCs w:val="24"/>
        </w:rPr>
        <w:t xml:space="preserve">the </w:t>
      </w:r>
      <w:r w:rsidRPr="0089635F">
        <w:rPr>
          <w:rFonts w:cstheme="minorHAnsi"/>
          <w:sz w:val="24"/>
          <w:szCs w:val="24"/>
        </w:rPr>
        <w:t xml:space="preserve">EU’s commitments under the Kyoto Protocol. A directive was adopted in 2003 and </w:t>
      </w:r>
      <w:r w:rsidR="00825B67">
        <w:rPr>
          <w:rFonts w:cstheme="minorHAnsi"/>
          <w:sz w:val="24"/>
          <w:szCs w:val="24"/>
        </w:rPr>
        <w:t>n</w:t>
      </w:r>
      <w:r w:rsidRPr="0089635F">
        <w:rPr>
          <w:rFonts w:cstheme="minorHAnsi"/>
          <w:sz w:val="24"/>
          <w:szCs w:val="24"/>
        </w:rPr>
        <w:t>ational allocation plans were set, with the year 2005 witnessing the launch of the EU’</w:t>
      </w:r>
      <w:r w:rsidR="00825B67">
        <w:rPr>
          <w:rFonts w:cstheme="minorHAnsi"/>
          <w:sz w:val="24"/>
          <w:szCs w:val="24"/>
        </w:rPr>
        <w:t>s</w:t>
      </w:r>
      <w:r w:rsidRPr="0089635F">
        <w:rPr>
          <w:rFonts w:cstheme="minorHAnsi"/>
          <w:sz w:val="24"/>
          <w:szCs w:val="24"/>
        </w:rPr>
        <w:t xml:space="preserve"> ETS. The system has </w:t>
      </w:r>
      <w:r w:rsidR="00825B67">
        <w:rPr>
          <w:rFonts w:cstheme="minorHAnsi"/>
          <w:sz w:val="24"/>
          <w:szCs w:val="24"/>
        </w:rPr>
        <w:t>since undergone</w:t>
      </w:r>
      <w:r w:rsidRPr="0089635F">
        <w:rPr>
          <w:rFonts w:cstheme="minorHAnsi"/>
          <w:sz w:val="24"/>
          <w:szCs w:val="24"/>
        </w:rPr>
        <w:t xml:space="preserve"> several amendments and modifications.  </w:t>
      </w:r>
    </w:p>
    <w:p w14:paraId="1E2FE349" w14:textId="77777777" w:rsidR="00A1716E" w:rsidRDefault="00A1716E" w:rsidP="00A1716E">
      <w:pPr>
        <w:spacing w:after="0" w:line="276" w:lineRule="auto"/>
        <w:jc w:val="both"/>
        <w:rPr>
          <w:rFonts w:cstheme="minorHAnsi"/>
          <w:sz w:val="24"/>
          <w:szCs w:val="24"/>
        </w:rPr>
      </w:pPr>
    </w:p>
    <w:p w14:paraId="23E430FE" w14:textId="22D0391D" w:rsidR="00B138EA" w:rsidRPr="0089635F" w:rsidRDefault="00B138EA" w:rsidP="00A1716E">
      <w:pPr>
        <w:spacing w:after="0" w:line="276" w:lineRule="auto"/>
        <w:jc w:val="both"/>
        <w:rPr>
          <w:rFonts w:cstheme="minorHAnsi"/>
          <w:sz w:val="24"/>
          <w:szCs w:val="24"/>
        </w:rPr>
      </w:pPr>
      <w:r w:rsidRPr="0089635F">
        <w:rPr>
          <w:rFonts w:cstheme="minorHAnsi"/>
          <w:sz w:val="24"/>
          <w:szCs w:val="24"/>
        </w:rPr>
        <w:t>In the first phase</w:t>
      </w:r>
      <w:r w:rsidR="002529C0">
        <w:rPr>
          <w:rFonts w:cstheme="minorHAnsi"/>
          <w:sz w:val="24"/>
          <w:szCs w:val="24"/>
        </w:rPr>
        <w:t xml:space="preserve"> </w:t>
      </w:r>
      <w:r w:rsidR="00825B67">
        <w:rPr>
          <w:rFonts w:cstheme="minorHAnsi"/>
          <w:sz w:val="24"/>
          <w:szCs w:val="24"/>
        </w:rPr>
        <w:t>–</w:t>
      </w:r>
      <w:r w:rsidR="002529C0">
        <w:rPr>
          <w:rFonts w:cstheme="minorHAnsi"/>
          <w:sz w:val="24"/>
          <w:szCs w:val="24"/>
        </w:rPr>
        <w:t xml:space="preserve"> a period of </w:t>
      </w:r>
      <w:r w:rsidR="00145364">
        <w:rPr>
          <w:rFonts w:cstheme="minorHAnsi"/>
          <w:sz w:val="24"/>
          <w:szCs w:val="24"/>
        </w:rPr>
        <w:t xml:space="preserve">three </w:t>
      </w:r>
      <w:r w:rsidR="002529C0">
        <w:rPr>
          <w:rFonts w:cstheme="minorHAnsi"/>
          <w:sz w:val="24"/>
          <w:szCs w:val="24"/>
        </w:rPr>
        <w:t>years</w:t>
      </w:r>
      <w:r w:rsidRPr="0089635F">
        <w:rPr>
          <w:rFonts w:cstheme="minorHAnsi"/>
          <w:sz w:val="24"/>
          <w:szCs w:val="24"/>
        </w:rPr>
        <w:t xml:space="preserve"> between 2005</w:t>
      </w:r>
      <w:r w:rsidR="00825B67">
        <w:rPr>
          <w:rFonts w:cstheme="minorHAnsi"/>
          <w:sz w:val="24"/>
          <w:szCs w:val="24"/>
        </w:rPr>
        <w:t>–</w:t>
      </w:r>
      <w:r w:rsidRPr="0089635F">
        <w:rPr>
          <w:rFonts w:cstheme="minorHAnsi"/>
          <w:sz w:val="24"/>
          <w:szCs w:val="24"/>
        </w:rPr>
        <w:t xml:space="preserve">2007 </w:t>
      </w:r>
      <w:r w:rsidR="00825B67">
        <w:rPr>
          <w:rFonts w:cstheme="minorHAnsi"/>
          <w:sz w:val="24"/>
          <w:szCs w:val="24"/>
        </w:rPr>
        <w:t xml:space="preserve">– </w:t>
      </w:r>
      <w:r w:rsidRPr="0089635F">
        <w:rPr>
          <w:rFonts w:cstheme="minorHAnsi"/>
          <w:sz w:val="24"/>
          <w:szCs w:val="24"/>
        </w:rPr>
        <w:t>all allowances were fixed by the ETS at the national level and were distributed free. Only power generators and energy</w:t>
      </w:r>
      <w:r w:rsidR="00825B67">
        <w:rPr>
          <w:rFonts w:cstheme="minorHAnsi"/>
          <w:sz w:val="24"/>
          <w:szCs w:val="24"/>
        </w:rPr>
        <w:t>-</w:t>
      </w:r>
      <w:r w:rsidRPr="0089635F">
        <w:rPr>
          <w:rFonts w:cstheme="minorHAnsi"/>
          <w:sz w:val="24"/>
          <w:szCs w:val="24"/>
        </w:rPr>
        <w:t>intensive industries were required to report emissions</w:t>
      </w:r>
      <w:r w:rsidRPr="00825B67">
        <w:rPr>
          <w:rFonts w:cstheme="minorHAnsi"/>
          <w:sz w:val="24"/>
          <w:szCs w:val="24"/>
        </w:rPr>
        <w:t>.</w:t>
      </w:r>
      <w:r w:rsidRPr="00ED2C18">
        <w:rPr>
          <w:rFonts w:cstheme="minorHAnsi"/>
          <w:b/>
          <w:bCs/>
          <w:sz w:val="24"/>
          <w:szCs w:val="24"/>
        </w:rPr>
        <w:t xml:space="preserve"> </w:t>
      </w:r>
      <w:r w:rsidRPr="00825B67">
        <w:rPr>
          <w:rFonts w:cstheme="minorHAnsi"/>
          <w:sz w:val="24"/>
          <w:szCs w:val="24"/>
        </w:rPr>
        <w:t>Th</w:t>
      </w:r>
      <w:r w:rsidR="00825B67">
        <w:rPr>
          <w:rFonts w:cstheme="minorHAnsi"/>
          <w:sz w:val="24"/>
          <w:szCs w:val="24"/>
        </w:rPr>
        <w:t>is</w:t>
      </w:r>
      <w:r w:rsidRPr="00825B67">
        <w:rPr>
          <w:rFonts w:cstheme="minorHAnsi"/>
          <w:sz w:val="24"/>
          <w:szCs w:val="24"/>
        </w:rPr>
        <w:t xml:space="preserve"> first phase contributed to setting up an acceptable infrastructure and system, allowing industry</w:t>
      </w:r>
      <w:r w:rsidR="002529C0" w:rsidRPr="00825B67">
        <w:rPr>
          <w:rFonts w:cstheme="minorHAnsi"/>
          <w:sz w:val="24"/>
          <w:szCs w:val="24"/>
        </w:rPr>
        <w:t xml:space="preserve"> to absorb the idea of a price on emissions and</w:t>
      </w:r>
      <w:r w:rsidRPr="00825B67">
        <w:rPr>
          <w:rFonts w:cstheme="minorHAnsi"/>
          <w:sz w:val="24"/>
          <w:szCs w:val="24"/>
        </w:rPr>
        <w:t xml:space="preserve"> to trade in </w:t>
      </w:r>
      <w:r w:rsidR="002529C0" w:rsidRPr="00825B67">
        <w:rPr>
          <w:rFonts w:cstheme="minorHAnsi"/>
          <w:sz w:val="24"/>
          <w:szCs w:val="24"/>
        </w:rPr>
        <w:t xml:space="preserve">free </w:t>
      </w:r>
      <w:r w:rsidRPr="00825B67">
        <w:rPr>
          <w:rFonts w:cstheme="minorHAnsi"/>
          <w:sz w:val="24"/>
          <w:szCs w:val="24"/>
        </w:rPr>
        <w:t>emissions allowances</w:t>
      </w:r>
      <w:r w:rsidR="002529C0" w:rsidRPr="00825B67">
        <w:rPr>
          <w:rFonts w:cstheme="minorHAnsi"/>
          <w:sz w:val="24"/>
          <w:szCs w:val="24"/>
        </w:rPr>
        <w:t>.</w:t>
      </w:r>
    </w:p>
    <w:p w14:paraId="63E5CF5F" w14:textId="77777777" w:rsidR="00A1716E" w:rsidRDefault="00A1716E" w:rsidP="00A1716E">
      <w:pPr>
        <w:spacing w:after="0" w:line="276" w:lineRule="auto"/>
        <w:jc w:val="both"/>
        <w:rPr>
          <w:rFonts w:cstheme="minorHAnsi"/>
          <w:sz w:val="24"/>
          <w:szCs w:val="24"/>
        </w:rPr>
      </w:pPr>
    </w:p>
    <w:p w14:paraId="04384D27" w14:textId="7F45C3E3" w:rsidR="00B138EA" w:rsidRDefault="00B138EA" w:rsidP="00A1716E">
      <w:pPr>
        <w:spacing w:after="0" w:line="276" w:lineRule="auto"/>
        <w:jc w:val="both"/>
        <w:rPr>
          <w:rFonts w:cstheme="minorHAnsi"/>
          <w:sz w:val="24"/>
          <w:szCs w:val="24"/>
        </w:rPr>
      </w:pPr>
      <w:r w:rsidRPr="0089635F">
        <w:rPr>
          <w:rFonts w:cstheme="minorHAnsi"/>
          <w:sz w:val="24"/>
          <w:szCs w:val="24"/>
        </w:rPr>
        <w:lastRenderedPageBreak/>
        <w:t>In the second</w:t>
      </w:r>
      <w:r w:rsidR="00825B67">
        <w:rPr>
          <w:rFonts w:cstheme="minorHAnsi"/>
          <w:sz w:val="24"/>
          <w:szCs w:val="24"/>
        </w:rPr>
        <w:t>, five-year</w:t>
      </w:r>
      <w:r w:rsidRPr="0089635F">
        <w:rPr>
          <w:rFonts w:cstheme="minorHAnsi"/>
          <w:sz w:val="24"/>
          <w:szCs w:val="24"/>
        </w:rPr>
        <w:t xml:space="preserve"> phase</w:t>
      </w:r>
      <w:r w:rsidR="001737E4">
        <w:rPr>
          <w:rFonts w:cstheme="minorHAnsi"/>
          <w:sz w:val="24"/>
          <w:szCs w:val="24"/>
        </w:rPr>
        <w:t xml:space="preserve"> </w:t>
      </w:r>
      <w:r w:rsidRPr="0089635F">
        <w:rPr>
          <w:rFonts w:cstheme="minorHAnsi"/>
          <w:sz w:val="24"/>
          <w:szCs w:val="24"/>
        </w:rPr>
        <w:t>(2008</w:t>
      </w:r>
      <w:r w:rsidR="00825B67">
        <w:rPr>
          <w:rFonts w:cstheme="minorHAnsi"/>
          <w:sz w:val="24"/>
          <w:szCs w:val="24"/>
        </w:rPr>
        <w:t>–</w:t>
      </w:r>
      <w:r w:rsidRPr="0089635F">
        <w:rPr>
          <w:rFonts w:cstheme="minorHAnsi"/>
          <w:sz w:val="24"/>
          <w:szCs w:val="24"/>
        </w:rPr>
        <w:t>2012)</w:t>
      </w:r>
      <w:r w:rsidR="00825B67">
        <w:rPr>
          <w:rFonts w:cstheme="minorHAnsi"/>
          <w:sz w:val="24"/>
          <w:szCs w:val="24"/>
        </w:rPr>
        <w:t>, during which</w:t>
      </w:r>
      <w:r w:rsidRPr="0089635F">
        <w:rPr>
          <w:rFonts w:cstheme="minorHAnsi"/>
          <w:sz w:val="24"/>
          <w:szCs w:val="24"/>
        </w:rPr>
        <w:t xml:space="preserve"> Norway, Iceland and Li</w:t>
      </w:r>
      <w:r w:rsidR="00825B67">
        <w:rPr>
          <w:rFonts w:cstheme="minorHAnsi"/>
          <w:sz w:val="24"/>
          <w:szCs w:val="24"/>
        </w:rPr>
        <w:t>e</w:t>
      </w:r>
      <w:r w:rsidRPr="0089635F">
        <w:rPr>
          <w:rFonts w:cstheme="minorHAnsi"/>
          <w:sz w:val="24"/>
          <w:szCs w:val="24"/>
        </w:rPr>
        <w:t xml:space="preserve">chtenstein joined the ETS, the free allowances continued to range </w:t>
      </w:r>
      <w:r w:rsidR="002529C0">
        <w:rPr>
          <w:rFonts w:cstheme="minorHAnsi"/>
          <w:sz w:val="24"/>
          <w:szCs w:val="24"/>
        </w:rPr>
        <w:t>up</w:t>
      </w:r>
      <w:r w:rsidR="00E711DE">
        <w:rPr>
          <w:rFonts w:cstheme="minorHAnsi"/>
          <w:sz w:val="24"/>
          <w:szCs w:val="24"/>
        </w:rPr>
        <w:t xml:space="preserve"> </w:t>
      </w:r>
      <w:r w:rsidRPr="0089635F">
        <w:rPr>
          <w:rFonts w:cstheme="minorHAnsi"/>
          <w:sz w:val="24"/>
          <w:szCs w:val="24"/>
        </w:rPr>
        <w:t xml:space="preserve">to 90% of allowed emissions. Essentially it was an extension </w:t>
      </w:r>
      <w:r w:rsidR="002529C0">
        <w:rPr>
          <w:rFonts w:cstheme="minorHAnsi"/>
          <w:sz w:val="24"/>
          <w:szCs w:val="24"/>
        </w:rPr>
        <w:t>of</w:t>
      </w:r>
      <w:r w:rsidRPr="0089635F">
        <w:rPr>
          <w:rFonts w:cstheme="minorHAnsi"/>
          <w:sz w:val="24"/>
          <w:szCs w:val="24"/>
        </w:rPr>
        <w:t xml:space="preserve"> trade </w:t>
      </w:r>
      <w:r w:rsidR="00825B67">
        <w:rPr>
          <w:rFonts w:cstheme="minorHAnsi"/>
          <w:sz w:val="24"/>
          <w:szCs w:val="24"/>
        </w:rPr>
        <w:t>in</w:t>
      </w:r>
      <w:r w:rsidRPr="0089635F">
        <w:rPr>
          <w:rFonts w:cstheme="minorHAnsi"/>
          <w:sz w:val="24"/>
          <w:szCs w:val="24"/>
        </w:rPr>
        <w:t xml:space="preserve"> </w:t>
      </w:r>
      <w:r w:rsidR="002529C0">
        <w:rPr>
          <w:rFonts w:cstheme="minorHAnsi"/>
          <w:sz w:val="24"/>
          <w:szCs w:val="24"/>
        </w:rPr>
        <w:t xml:space="preserve">free </w:t>
      </w:r>
      <w:r w:rsidRPr="0089635F">
        <w:rPr>
          <w:rFonts w:cstheme="minorHAnsi"/>
          <w:sz w:val="24"/>
          <w:szCs w:val="24"/>
        </w:rPr>
        <w:t xml:space="preserve">emissions. This created a large surplus of free allowances, leading to very low carbon prices. </w:t>
      </w:r>
    </w:p>
    <w:p w14:paraId="0554FDE7" w14:textId="77777777" w:rsidR="00A1716E" w:rsidRDefault="00A1716E" w:rsidP="00A1716E">
      <w:pPr>
        <w:spacing w:after="0" w:line="276" w:lineRule="auto"/>
        <w:jc w:val="both"/>
        <w:rPr>
          <w:rFonts w:cstheme="minorHAnsi"/>
          <w:sz w:val="24"/>
          <w:szCs w:val="24"/>
        </w:rPr>
      </w:pPr>
    </w:p>
    <w:p w14:paraId="7EF49294" w14:textId="1C25EC07" w:rsidR="00B138EA" w:rsidRPr="00AA2226" w:rsidRDefault="00B138EA" w:rsidP="00A1716E">
      <w:pPr>
        <w:spacing w:after="0" w:line="276" w:lineRule="auto"/>
        <w:jc w:val="both"/>
        <w:rPr>
          <w:rFonts w:cstheme="minorHAnsi"/>
          <w:b/>
          <w:bCs/>
          <w:sz w:val="24"/>
          <w:szCs w:val="24"/>
        </w:rPr>
      </w:pPr>
      <w:r w:rsidRPr="0089635F">
        <w:rPr>
          <w:rFonts w:cstheme="minorHAnsi"/>
          <w:sz w:val="24"/>
          <w:szCs w:val="24"/>
        </w:rPr>
        <w:t>In the third</w:t>
      </w:r>
      <w:r w:rsidR="00825B67">
        <w:rPr>
          <w:rFonts w:cstheme="minorHAnsi"/>
          <w:sz w:val="24"/>
          <w:szCs w:val="24"/>
        </w:rPr>
        <w:t>, eight-year</w:t>
      </w:r>
      <w:r w:rsidRPr="0089635F">
        <w:rPr>
          <w:rFonts w:cstheme="minorHAnsi"/>
          <w:sz w:val="24"/>
          <w:szCs w:val="24"/>
        </w:rPr>
        <w:t xml:space="preserve"> phase</w:t>
      </w:r>
      <w:r w:rsidR="001737E4">
        <w:rPr>
          <w:rFonts w:cstheme="minorHAnsi"/>
          <w:sz w:val="24"/>
          <w:szCs w:val="24"/>
        </w:rPr>
        <w:t xml:space="preserve"> </w:t>
      </w:r>
      <w:r w:rsidRPr="0089635F">
        <w:rPr>
          <w:rFonts w:cstheme="minorHAnsi"/>
          <w:sz w:val="24"/>
          <w:szCs w:val="24"/>
        </w:rPr>
        <w:t>(201</w:t>
      </w:r>
      <w:r w:rsidR="00145364">
        <w:rPr>
          <w:rFonts w:cstheme="minorHAnsi"/>
          <w:sz w:val="24"/>
          <w:szCs w:val="24"/>
        </w:rPr>
        <w:t>3</w:t>
      </w:r>
      <w:r w:rsidR="00825B67">
        <w:rPr>
          <w:rFonts w:cstheme="minorHAnsi"/>
          <w:sz w:val="24"/>
          <w:szCs w:val="24"/>
        </w:rPr>
        <w:t>–</w:t>
      </w:r>
      <w:r w:rsidRPr="0089635F">
        <w:rPr>
          <w:rFonts w:cstheme="minorHAnsi"/>
          <w:sz w:val="24"/>
          <w:szCs w:val="24"/>
        </w:rPr>
        <w:t>2020)</w:t>
      </w:r>
      <w:r w:rsidR="002529C0">
        <w:rPr>
          <w:rFonts w:cstheme="minorHAnsi"/>
          <w:sz w:val="24"/>
          <w:szCs w:val="24"/>
        </w:rPr>
        <w:t xml:space="preserve">, </w:t>
      </w:r>
      <w:r w:rsidRPr="0089635F">
        <w:rPr>
          <w:rFonts w:cstheme="minorHAnsi"/>
          <w:sz w:val="24"/>
          <w:szCs w:val="24"/>
        </w:rPr>
        <w:t xml:space="preserve">auctioning of allowances (as opposed to free allowances) </w:t>
      </w:r>
      <w:r w:rsidR="00194414">
        <w:rPr>
          <w:rFonts w:cstheme="minorHAnsi"/>
          <w:sz w:val="24"/>
          <w:szCs w:val="24"/>
        </w:rPr>
        <w:t>became</w:t>
      </w:r>
      <w:r w:rsidRPr="0089635F">
        <w:rPr>
          <w:rFonts w:cstheme="minorHAnsi"/>
          <w:sz w:val="24"/>
          <w:szCs w:val="24"/>
        </w:rPr>
        <w:t xml:space="preserve"> the main feature. The sectoral coverage widened significantly. However, allowances were still given for free where the EU perceived carbon leakage</w:t>
      </w:r>
      <w:r w:rsidR="00194414">
        <w:rPr>
          <w:rFonts w:cstheme="minorHAnsi"/>
          <w:sz w:val="24"/>
          <w:szCs w:val="24"/>
        </w:rPr>
        <w:t>; this is</w:t>
      </w:r>
      <w:r w:rsidR="002529C0" w:rsidRPr="0089635F">
        <w:rPr>
          <w:rFonts w:cstheme="minorHAnsi"/>
          <w:sz w:val="24"/>
          <w:szCs w:val="24"/>
        </w:rPr>
        <w:t xml:space="preserve"> considered </w:t>
      </w:r>
      <w:r w:rsidR="008D6781">
        <w:rPr>
          <w:rFonts w:cstheme="minorHAnsi"/>
          <w:sz w:val="24"/>
          <w:szCs w:val="24"/>
        </w:rPr>
        <w:t xml:space="preserve">by experts </w:t>
      </w:r>
      <w:r w:rsidR="002529C0" w:rsidRPr="0089635F">
        <w:rPr>
          <w:rFonts w:cstheme="minorHAnsi"/>
          <w:sz w:val="24"/>
          <w:szCs w:val="24"/>
        </w:rPr>
        <w:t xml:space="preserve">to be a substantial subsidy for EU industry. </w:t>
      </w:r>
      <w:hyperlink r:id="rId7" w:history="1">
        <w:r w:rsidR="002529C0" w:rsidRPr="00AA2226">
          <w:rPr>
            <w:rStyle w:val="Hyperlink"/>
            <w:rFonts w:cstheme="minorHAnsi"/>
            <w:b/>
            <w:bCs/>
            <w:sz w:val="24"/>
            <w:szCs w:val="24"/>
          </w:rPr>
          <w:t>One estimate</w:t>
        </w:r>
      </w:hyperlink>
      <w:r w:rsidR="00446EE2" w:rsidRPr="00AA2226">
        <w:rPr>
          <w:rFonts w:cstheme="minorHAnsi"/>
          <w:b/>
          <w:bCs/>
          <w:sz w:val="24"/>
          <w:szCs w:val="24"/>
        </w:rPr>
        <w:t xml:space="preserve"> </w:t>
      </w:r>
      <w:r w:rsidR="002529C0" w:rsidRPr="00AA2226">
        <w:rPr>
          <w:rFonts w:cstheme="minorHAnsi"/>
          <w:b/>
          <w:bCs/>
          <w:sz w:val="24"/>
          <w:szCs w:val="24"/>
        </w:rPr>
        <w:t>puts the subsidy received by EU heavy industry so far</w:t>
      </w:r>
      <w:r w:rsidR="00194414">
        <w:rPr>
          <w:rFonts w:cstheme="minorHAnsi"/>
          <w:b/>
          <w:bCs/>
          <w:sz w:val="24"/>
          <w:szCs w:val="24"/>
        </w:rPr>
        <w:t>,</w:t>
      </w:r>
      <w:r w:rsidR="002529C0" w:rsidRPr="00AA2226">
        <w:rPr>
          <w:rFonts w:cstheme="minorHAnsi"/>
          <w:b/>
          <w:bCs/>
          <w:sz w:val="24"/>
          <w:szCs w:val="24"/>
        </w:rPr>
        <w:t xml:space="preserve"> in terms of free allowances, at </w:t>
      </w:r>
      <w:r w:rsidR="00194414" w:rsidRPr="00194414">
        <w:rPr>
          <w:rFonts w:cstheme="minorHAnsi"/>
          <w:b/>
          <w:bCs/>
          <w:sz w:val="24"/>
          <w:szCs w:val="24"/>
        </w:rPr>
        <w:t>€</w:t>
      </w:r>
      <w:r w:rsidR="002529C0" w:rsidRPr="00AA2226">
        <w:rPr>
          <w:rFonts w:cstheme="minorHAnsi"/>
          <w:b/>
          <w:bCs/>
          <w:sz w:val="24"/>
          <w:szCs w:val="24"/>
        </w:rPr>
        <w:t xml:space="preserve">238 billion, with an additional </w:t>
      </w:r>
      <w:r w:rsidR="00194414" w:rsidRPr="00194414">
        <w:rPr>
          <w:rFonts w:cstheme="minorHAnsi"/>
          <w:b/>
          <w:bCs/>
          <w:sz w:val="24"/>
          <w:szCs w:val="24"/>
        </w:rPr>
        <w:t>€</w:t>
      </w:r>
      <w:r w:rsidR="002529C0" w:rsidRPr="00AA2226">
        <w:rPr>
          <w:rFonts w:cstheme="minorHAnsi"/>
          <w:b/>
          <w:bCs/>
          <w:sz w:val="24"/>
          <w:szCs w:val="24"/>
        </w:rPr>
        <w:t xml:space="preserve">400 billion to be disbursed till 2030. </w:t>
      </w:r>
      <w:r w:rsidR="008D6781">
        <w:rPr>
          <w:rFonts w:cstheme="minorHAnsi"/>
          <w:b/>
          <w:bCs/>
          <w:sz w:val="24"/>
          <w:szCs w:val="24"/>
        </w:rPr>
        <w:t xml:space="preserve">That </w:t>
      </w:r>
      <w:r w:rsidR="00347D41">
        <w:rPr>
          <w:rFonts w:cstheme="minorHAnsi"/>
          <w:b/>
          <w:bCs/>
          <w:sz w:val="24"/>
          <w:szCs w:val="24"/>
        </w:rPr>
        <w:t xml:space="preserve">gives a massive sum of over </w:t>
      </w:r>
      <w:r w:rsidR="00347D41" w:rsidRPr="00347D41">
        <w:rPr>
          <w:rFonts w:cstheme="minorHAnsi"/>
          <w:b/>
          <w:bCs/>
          <w:sz w:val="24"/>
          <w:szCs w:val="24"/>
        </w:rPr>
        <w:t>€600 billion in</w:t>
      </w:r>
      <w:r w:rsidR="008D6781">
        <w:rPr>
          <w:rFonts w:cstheme="minorHAnsi"/>
          <w:b/>
          <w:bCs/>
          <w:sz w:val="24"/>
          <w:szCs w:val="24"/>
        </w:rPr>
        <w:t xml:space="preserve"> free</w:t>
      </w:r>
      <w:r w:rsidR="00194414">
        <w:rPr>
          <w:rFonts w:cstheme="minorHAnsi"/>
          <w:b/>
          <w:bCs/>
          <w:sz w:val="24"/>
          <w:szCs w:val="24"/>
        </w:rPr>
        <w:t>-</w:t>
      </w:r>
      <w:r w:rsidR="008D6781">
        <w:rPr>
          <w:rFonts w:cstheme="minorHAnsi"/>
          <w:b/>
          <w:bCs/>
          <w:sz w:val="24"/>
          <w:szCs w:val="24"/>
        </w:rPr>
        <w:t>allowances subsidy!</w:t>
      </w:r>
    </w:p>
    <w:p w14:paraId="33BC1303" w14:textId="77777777" w:rsidR="00A1716E" w:rsidRDefault="00A1716E" w:rsidP="00A1716E">
      <w:pPr>
        <w:spacing w:after="0" w:line="276" w:lineRule="auto"/>
        <w:jc w:val="both"/>
        <w:rPr>
          <w:rFonts w:cstheme="minorHAnsi"/>
          <w:sz w:val="24"/>
          <w:szCs w:val="24"/>
        </w:rPr>
      </w:pPr>
    </w:p>
    <w:p w14:paraId="4B1A8DCA" w14:textId="526A2F1C" w:rsidR="002529C0" w:rsidRDefault="002E0878" w:rsidP="00A1716E">
      <w:pPr>
        <w:spacing w:after="0" w:line="276" w:lineRule="auto"/>
        <w:jc w:val="both"/>
        <w:rPr>
          <w:rFonts w:cstheme="minorHAnsi"/>
          <w:sz w:val="24"/>
          <w:szCs w:val="24"/>
        </w:rPr>
      </w:pPr>
      <w:r w:rsidRPr="00104172">
        <w:rPr>
          <w:rFonts w:cstheme="minorHAnsi"/>
          <w:sz w:val="24"/>
          <w:szCs w:val="24"/>
        </w:rPr>
        <w:t xml:space="preserve">As </w:t>
      </w:r>
      <w:r w:rsidR="00347D41">
        <w:rPr>
          <w:rFonts w:cstheme="minorHAnsi"/>
          <w:sz w:val="24"/>
          <w:szCs w:val="24"/>
        </w:rPr>
        <w:t>noted in</w:t>
      </w:r>
      <w:r w:rsidRPr="00104172">
        <w:rPr>
          <w:rFonts w:cstheme="minorHAnsi"/>
          <w:sz w:val="24"/>
          <w:szCs w:val="24"/>
        </w:rPr>
        <w:t xml:space="preserve"> a recent </w:t>
      </w:r>
      <w:hyperlink r:id="rId8" w:history="1">
        <w:r w:rsidRPr="00104172">
          <w:rPr>
            <w:rStyle w:val="Hyperlink"/>
            <w:rFonts w:cstheme="minorHAnsi"/>
            <w:sz w:val="24"/>
            <w:szCs w:val="24"/>
          </w:rPr>
          <w:t>special report</w:t>
        </w:r>
      </w:hyperlink>
      <w:r w:rsidRPr="00104172">
        <w:rPr>
          <w:rFonts w:cstheme="minorHAnsi"/>
          <w:sz w:val="24"/>
          <w:szCs w:val="24"/>
        </w:rPr>
        <w:t xml:space="preserve"> by the EU Court of Auditors, all emissions allowances were free until 2012, which enabled EU industry to make substantial profits by trading in these free allowances.</w:t>
      </w:r>
      <w:r w:rsidRPr="00ED2C18">
        <w:rPr>
          <w:rFonts w:cstheme="minorHAnsi"/>
          <w:b/>
          <w:bCs/>
          <w:sz w:val="24"/>
          <w:szCs w:val="24"/>
        </w:rPr>
        <w:t xml:space="preserve"> </w:t>
      </w:r>
      <w:hyperlink r:id="rId9" w:history="1">
        <w:r w:rsidR="002529C0" w:rsidRPr="00446EE2">
          <w:rPr>
            <w:rStyle w:val="Hyperlink"/>
            <w:rFonts w:cstheme="minorHAnsi"/>
            <w:sz w:val="24"/>
            <w:szCs w:val="24"/>
          </w:rPr>
          <w:t xml:space="preserve">Windfall profits </w:t>
        </w:r>
        <w:r>
          <w:rPr>
            <w:rStyle w:val="Hyperlink"/>
            <w:rFonts w:cstheme="minorHAnsi"/>
            <w:sz w:val="24"/>
            <w:szCs w:val="24"/>
          </w:rPr>
          <w:t>we</w:t>
        </w:r>
        <w:r w:rsidR="002529C0" w:rsidRPr="00446EE2">
          <w:rPr>
            <w:rStyle w:val="Hyperlink"/>
            <w:rFonts w:cstheme="minorHAnsi"/>
            <w:sz w:val="24"/>
            <w:szCs w:val="24"/>
          </w:rPr>
          <w:t>re made by corporations</w:t>
        </w:r>
      </w:hyperlink>
      <w:r w:rsidR="002529C0" w:rsidRPr="0089635F">
        <w:rPr>
          <w:rFonts w:cstheme="minorHAnsi"/>
          <w:sz w:val="24"/>
          <w:szCs w:val="24"/>
        </w:rPr>
        <w:t xml:space="preserve"> in certain sectors at the cost of EU consumers due to </w:t>
      </w:r>
      <w:r w:rsidR="00347D41">
        <w:rPr>
          <w:rFonts w:cstheme="minorHAnsi"/>
          <w:sz w:val="24"/>
          <w:szCs w:val="24"/>
        </w:rPr>
        <w:t xml:space="preserve">the </w:t>
      </w:r>
      <w:r w:rsidR="002529C0" w:rsidRPr="0089635F">
        <w:rPr>
          <w:rFonts w:cstheme="minorHAnsi"/>
          <w:sz w:val="24"/>
          <w:szCs w:val="24"/>
        </w:rPr>
        <w:t>free emission allowances allocation under the ETS. The authors</w:t>
      </w:r>
      <w:r w:rsidR="00490579">
        <w:rPr>
          <w:rFonts w:cstheme="minorHAnsi"/>
          <w:sz w:val="24"/>
          <w:szCs w:val="24"/>
        </w:rPr>
        <w:t xml:space="preserve"> of the report </w:t>
      </w:r>
      <w:r w:rsidR="002529C0" w:rsidRPr="0089635F">
        <w:rPr>
          <w:rFonts w:cstheme="minorHAnsi"/>
          <w:sz w:val="24"/>
          <w:szCs w:val="24"/>
        </w:rPr>
        <w:t>estimate that additional profits in the range of €30</w:t>
      </w:r>
      <w:r w:rsidR="00347D41">
        <w:rPr>
          <w:rFonts w:cstheme="minorHAnsi"/>
          <w:sz w:val="24"/>
          <w:szCs w:val="24"/>
        </w:rPr>
        <w:t>–</w:t>
      </w:r>
      <w:r w:rsidR="002529C0" w:rsidRPr="0089635F">
        <w:rPr>
          <w:rFonts w:cstheme="minorHAnsi"/>
          <w:sz w:val="24"/>
          <w:szCs w:val="24"/>
        </w:rPr>
        <w:t xml:space="preserve">50 billion may have </w:t>
      </w:r>
      <w:r w:rsidR="00347D41">
        <w:rPr>
          <w:rFonts w:cstheme="minorHAnsi"/>
          <w:sz w:val="24"/>
          <w:szCs w:val="24"/>
        </w:rPr>
        <w:t>accrued</w:t>
      </w:r>
      <w:r w:rsidR="002529C0" w:rsidRPr="0089635F">
        <w:rPr>
          <w:rFonts w:cstheme="minorHAnsi"/>
          <w:sz w:val="24"/>
          <w:szCs w:val="24"/>
        </w:rPr>
        <w:t xml:space="preserve"> in </w:t>
      </w:r>
      <w:r w:rsidR="00347D41">
        <w:rPr>
          <w:rFonts w:cstheme="minorHAnsi"/>
          <w:sz w:val="24"/>
          <w:szCs w:val="24"/>
        </w:rPr>
        <w:t xml:space="preserve">the </w:t>
      </w:r>
      <w:r w:rsidR="002529C0" w:rsidRPr="0089635F">
        <w:rPr>
          <w:rFonts w:cstheme="minorHAnsi"/>
          <w:sz w:val="24"/>
          <w:szCs w:val="24"/>
        </w:rPr>
        <w:t>15 most carbon</w:t>
      </w:r>
      <w:r w:rsidR="00347D41">
        <w:rPr>
          <w:rFonts w:cstheme="minorHAnsi"/>
          <w:sz w:val="24"/>
          <w:szCs w:val="24"/>
        </w:rPr>
        <w:t>-</w:t>
      </w:r>
      <w:r w:rsidR="002529C0" w:rsidRPr="0089635F">
        <w:rPr>
          <w:rFonts w:cstheme="minorHAnsi"/>
          <w:sz w:val="24"/>
          <w:szCs w:val="24"/>
        </w:rPr>
        <w:t>intensive sectors in the EU between 2008</w:t>
      </w:r>
      <w:r w:rsidR="00347D41">
        <w:rPr>
          <w:rFonts w:cstheme="minorHAnsi"/>
          <w:sz w:val="24"/>
          <w:szCs w:val="24"/>
        </w:rPr>
        <w:t>–</w:t>
      </w:r>
      <w:r w:rsidR="002529C0" w:rsidRPr="0089635F">
        <w:rPr>
          <w:rFonts w:cstheme="minorHAnsi"/>
          <w:sz w:val="24"/>
          <w:szCs w:val="24"/>
        </w:rPr>
        <w:t xml:space="preserve">2019. </w:t>
      </w:r>
      <w:r>
        <w:rPr>
          <w:rFonts w:cstheme="minorHAnsi"/>
          <w:sz w:val="24"/>
          <w:szCs w:val="24"/>
        </w:rPr>
        <w:t xml:space="preserve"> </w:t>
      </w:r>
    </w:p>
    <w:p w14:paraId="0C9EE2FB" w14:textId="77777777" w:rsidR="00A1716E" w:rsidRDefault="00A1716E" w:rsidP="00A1716E">
      <w:pPr>
        <w:spacing w:after="0" w:line="276" w:lineRule="auto"/>
        <w:jc w:val="both"/>
        <w:rPr>
          <w:rFonts w:cstheme="minorHAnsi"/>
          <w:sz w:val="24"/>
          <w:szCs w:val="24"/>
        </w:rPr>
      </w:pPr>
    </w:p>
    <w:p w14:paraId="07A82790" w14:textId="6B5D0A50" w:rsidR="00B138EA" w:rsidRPr="0089635F" w:rsidRDefault="00B138EA" w:rsidP="00A1716E">
      <w:pPr>
        <w:spacing w:after="0" w:line="276" w:lineRule="auto"/>
        <w:jc w:val="both"/>
        <w:rPr>
          <w:rFonts w:cstheme="minorHAnsi"/>
          <w:sz w:val="24"/>
          <w:szCs w:val="24"/>
        </w:rPr>
      </w:pPr>
      <w:r w:rsidRPr="00DD6A0F">
        <w:rPr>
          <w:rFonts w:cstheme="minorHAnsi"/>
          <w:sz w:val="24"/>
          <w:szCs w:val="24"/>
        </w:rPr>
        <w:t xml:space="preserve">The fourth phase of the ETS </w:t>
      </w:r>
      <w:r>
        <w:rPr>
          <w:rFonts w:cstheme="minorHAnsi"/>
          <w:sz w:val="24"/>
          <w:szCs w:val="24"/>
        </w:rPr>
        <w:t>(2021</w:t>
      </w:r>
      <w:r w:rsidR="00347D41">
        <w:rPr>
          <w:rFonts w:cstheme="minorHAnsi"/>
          <w:sz w:val="24"/>
          <w:szCs w:val="24"/>
        </w:rPr>
        <w:t>–</w:t>
      </w:r>
      <w:r>
        <w:rPr>
          <w:rFonts w:cstheme="minorHAnsi"/>
          <w:sz w:val="24"/>
          <w:szCs w:val="24"/>
        </w:rPr>
        <w:t xml:space="preserve">2030) </w:t>
      </w:r>
      <w:hyperlink r:id="rId10" w:anchor=":~:text=linear%20reduction%20factor%20of%202.2%25." w:history="1">
        <w:r w:rsidRPr="00973272">
          <w:rPr>
            <w:rStyle w:val="Hyperlink"/>
            <w:rFonts w:cstheme="minorHAnsi"/>
            <w:sz w:val="24"/>
            <w:szCs w:val="24"/>
          </w:rPr>
          <w:t>promises to be more stringent</w:t>
        </w:r>
      </w:hyperlink>
      <w:r>
        <w:rPr>
          <w:rFonts w:cstheme="minorHAnsi"/>
          <w:sz w:val="24"/>
          <w:szCs w:val="24"/>
        </w:rPr>
        <w:t xml:space="preserve"> than the earlier phases</w:t>
      </w:r>
      <w:r w:rsidR="00347D41">
        <w:rPr>
          <w:rFonts w:cstheme="minorHAnsi"/>
          <w:sz w:val="24"/>
          <w:szCs w:val="24"/>
        </w:rPr>
        <w:t>,</w:t>
      </w:r>
      <w:r>
        <w:rPr>
          <w:rFonts w:cstheme="minorHAnsi"/>
          <w:sz w:val="24"/>
          <w:szCs w:val="24"/>
        </w:rPr>
        <w:t xml:space="preserve"> with emissions allowances progressively </w:t>
      </w:r>
      <w:r w:rsidR="00347D41">
        <w:rPr>
          <w:rFonts w:cstheme="minorHAnsi"/>
          <w:sz w:val="24"/>
          <w:szCs w:val="24"/>
        </w:rPr>
        <w:t>declining</w:t>
      </w:r>
      <w:r>
        <w:rPr>
          <w:rFonts w:cstheme="minorHAnsi"/>
          <w:sz w:val="24"/>
          <w:szCs w:val="24"/>
        </w:rPr>
        <w:t xml:space="preserve"> by</w:t>
      </w:r>
      <w:r w:rsidR="00973272">
        <w:rPr>
          <w:rFonts w:cstheme="minorHAnsi"/>
          <w:sz w:val="24"/>
          <w:szCs w:val="24"/>
        </w:rPr>
        <w:t xml:space="preserve"> an annual linear reduction of </w:t>
      </w:r>
      <w:r>
        <w:rPr>
          <w:rFonts w:cstheme="minorHAnsi"/>
          <w:sz w:val="24"/>
          <w:szCs w:val="24"/>
        </w:rPr>
        <w:t>2.2%</w:t>
      </w:r>
      <w:r w:rsidR="00973272">
        <w:rPr>
          <w:rFonts w:cstheme="minorHAnsi"/>
          <w:sz w:val="24"/>
          <w:szCs w:val="24"/>
        </w:rPr>
        <w:t xml:space="preserve"> in phase </w:t>
      </w:r>
      <w:r w:rsidR="00D82B7A">
        <w:rPr>
          <w:rFonts w:cstheme="minorHAnsi"/>
          <w:sz w:val="24"/>
          <w:szCs w:val="24"/>
        </w:rPr>
        <w:t>IV</w:t>
      </w:r>
      <w:r w:rsidR="00973272">
        <w:rPr>
          <w:rFonts w:cstheme="minorHAnsi"/>
          <w:sz w:val="24"/>
          <w:szCs w:val="24"/>
        </w:rPr>
        <w:t>, as</w:t>
      </w:r>
      <w:r>
        <w:rPr>
          <w:rFonts w:cstheme="minorHAnsi"/>
          <w:sz w:val="24"/>
          <w:szCs w:val="24"/>
        </w:rPr>
        <w:t xml:space="preserve"> </w:t>
      </w:r>
      <w:r w:rsidR="00347D41">
        <w:rPr>
          <w:rFonts w:cstheme="minorHAnsi"/>
          <w:sz w:val="24"/>
          <w:szCs w:val="24"/>
        </w:rPr>
        <w:t>compared with</w:t>
      </w:r>
      <w:r>
        <w:rPr>
          <w:rFonts w:cstheme="minorHAnsi"/>
          <w:sz w:val="24"/>
          <w:szCs w:val="24"/>
        </w:rPr>
        <w:t xml:space="preserve"> 1.74%</w:t>
      </w:r>
      <w:r w:rsidR="00973272">
        <w:rPr>
          <w:rFonts w:cstheme="minorHAnsi"/>
          <w:sz w:val="24"/>
          <w:szCs w:val="24"/>
        </w:rPr>
        <w:t xml:space="preserve"> annual linear reduction in phase </w:t>
      </w:r>
      <w:r w:rsidR="00D82B7A">
        <w:rPr>
          <w:rFonts w:cstheme="minorHAnsi"/>
          <w:sz w:val="24"/>
          <w:szCs w:val="24"/>
        </w:rPr>
        <w:t>III</w:t>
      </w:r>
      <w:r>
        <w:rPr>
          <w:rFonts w:cstheme="minorHAnsi"/>
          <w:sz w:val="24"/>
          <w:szCs w:val="24"/>
        </w:rPr>
        <w:t>. Free allowances will be more targeted and depend</w:t>
      </w:r>
      <w:r w:rsidR="00347D41">
        <w:rPr>
          <w:rFonts w:cstheme="minorHAnsi"/>
          <w:sz w:val="24"/>
          <w:szCs w:val="24"/>
        </w:rPr>
        <w:t>e</w:t>
      </w:r>
      <w:r>
        <w:rPr>
          <w:rFonts w:cstheme="minorHAnsi"/>
          <w:sz w:val="24"/>
          <w:szCs w:val="24"/>
        </w:rPr>
        <w:t xml:space="preserve">nt on actual production. </w:t>
      </w:r>
      <w:r w:rsidR="002E0878">
        <w:rPr>
          <w:rFonts w:cstheme="minorHAnsi"/>
          <w:sz w:val="24"/>
          <w:szCs w:val="24"/>
        </w:rPr>
        <w:t>However, s</w:t>
      </w:r>
      <w:r>
        <w:rPr>
          <w:rFonts w:cstheme="minorHAnsi"/>
          <w:sz w:val="24"/>
          <w:szCs w:val="24"/>
        </w:rPr>
        <w:t xml:space="preserve">ectors with </w:t>
      </w:r>
      <w:r w:rsidR="00347D41">
        <w:rPr>
          <w:rFonts w:cstheme="minorHAnsi"/>
          <w:sz w:val="24"/>
          <w:szCs w:val="24"/>
        </w:rPr>
        <w:t xml:space="preserve">the </w:t>
      </w:r>
      <w:r>
        <w:rPr>
          <w:rFonts w:cstheme="minorHAnsi"/>
          <w:sz w:val="24"/>
          <w:szCs w:val="24"/>
        </w:rPr>
        <w:t xml:space="preserve">highest carbon leakage will continue to receive 100% allowances for free. </w:t>
      </w:r>
    </w:p>
    <w:p w14:paraId="45DE5E79" w14:textId="77777777" w:rsidR="00A1716E" w:rsidRDefault="00A1716E" w:rsidP="00A1716E">
      <w:pPr>
        <w:spacing w:after="0" w:line="276" w:lineRule="auto"/>
        <w:jc w:val="both"/>
        <w:rPr>
          <w:rFonts w:cstheme="minorHAnsi"/>
          <w:sz w:val="24"/>
          <w:szCs w:val="24"/>
        </w:rPr>
      </w:pPr>
    </w:p>
    <w:p w14:paraId="59027316" w14:textId="0B551B08" w:rsidR="00B138EA" w:rsidRDefault="00B138EA" w:rsidP="00A1716E">
      <w:pPr>
        <w:spacing w:after="0" w:line="276" w:lineRule="auto"/>
        <w:jc w:val="both"/>
        <w:rPr>
          <w:rFonts w:cstheme="minorHAnsi"/>
          <w:sz w:val="24"/>
          <w:szCs w:val="24"/>
        </w:rPr>
      </w:pPr>
      <w:r w:rsidRPr="0089635F">
        <w:rPr>
          <w:rFonts w:cstheme="minorHAnsi"/>
          <w:sz w:val="24"/>
          <w:szCs w:val="24"/>
        </w:rPr>
        <w:t xml:space="preserve">The </w:t>
      </w:r>
      <w:r w:rsidR="002563D3">
        <w:rPr>
          <w:rFonts w:cstheme="minorHAnsi"/>
          <w:sz w:val="24"/>
          <w:szCs w:val="24"/>
        </w:rPr>
        <w:t>European Commission</w:t>
      </w:r>
      <w:r w:rsidRPr="0089635F">
        <w:rPr>
          <w:rFonts w:cstheme="minorHAnsi"/>
          <w:sz w:val="24"/>
          <w:szCs w:val="24"/>
        </w:rPr>
        <w:t xml:space="preserve"> periodically </w:t>
      </w:r>
      <w:r w:rsidR="002563D3">
        <w:rPr>
          <w:rFonts w:cstheme="minorHAnsi"/>
          <w:sz w:val="24"/>
          <w:szCs w:val="24"/>
        </w:rPr>
        <w:t>issues</w:t>
      </w:r>
      <w:r w:rsidRPr="0089635F">
        <w:rPr>
          <w:rFonts w:cstheme="minorHAnsi"/>
          <w:sz w:val="24"/>
          <w:szCs w:val="24"/>
        </w:rPr>
        <w:t xml:space="preserve"> a list of sectors and sub</w:t>
      </w:r>
      <w:r w:rsidR="002563D3">
        <w:rPr>
          <w:rFonts w:cstheme="minorHAnsi"/>
          <w:sz w:val="24"/>
          <w:szCs w:val="24"/>
        </w:rPr>
        <w:t>-</w:t>
      </w:r>
      <w:r w:rsidRPr="0089635F">
        <w:rPr>
          <w:rFonts w:cstheme="minorHAnsi"/>
          <w:sz w:val="24"/>
          <w:szCs w:val="24"/>
        </w:rPr>
        <w:t xml:space="preserve">sectors that it assesses </w:t>
      </w:r>
      <w:r w:rsidR="002563D3">
        <w:rPr>
          <w:rFonts w:cstheme="minorHAnsi"/>
          <w:sz w:val="24"/>
          <w:szCs w:val="24"/>
        </w:rPr>
        <w:t>as being</w:t>
      </w:r>
      <w:r w:rsidRPr="0089635F">
        <w:rPr>
          <w:rFonts w:cstheme="minorHAnsi"/>
          <w:sz w:val="24"/>
          <w:szCs w:val="24"/>
        </w:rPr>
        <w:t xml:space="preserve"> prone to greater carbon leakage. The </w:t>
      </w:r>
      <w:hyperlink r:id="rId11" w:history="1">
        <w:r w:rsidRPr="00E57C4E">
          <w:rPr>
            <w:rStyle w:val="Hyperlink"/>
            <w:rFonts w:cstheme="minorHAnsi"/>
            <w:sz w:val="24"/>
            <w:szCs w:val="24"/>
          </w:rPr>
          <w:t>current list</w:t>
        </w:r>
      </w:hyperlink>
      <w:r w:rsidR="002563D3">
        <w:rPr>
          <w:rFonts w:cstheme="minorHAnsi"/>
          <w:sz w:val="24"/>
          <w:szCs w:val="24"/>
        </w:rPr>
        <w:t xml:space="preserve">, </w:t>
      </w:r>
      <w:r w:rsidRPr="0089635F">
        <w:rPr>
          <w:rFonts w:cstheme="minorHAnsi"/>
          <w:sz w:val="24"/>
          <w:szCs w:val="24"/>
        </w:rPr>
        <w:t xml:space="preserve">applicable </w:t>
      </w:r>
      <w:r w:rsidR="002563D3">
        <w:rPr>
          <w:rFonts w:cstheme="minorHAnsi"/>
          <w:sz w:val="24"/>
          <w:szCs w:val="24"/>
        </w:rPr>
        <w:t xml:space="preserve">until </w:t>
      </w:r>
      <w:r w:rsidRPr="0089635F">
        <w:rPr>
          <w:rFonts w:cstheme="minorHAnsi"/>
          <w:sz w:val="24"/>
          <w:szCs w:val="24"/>
        </w:rPr>
        <w:t>2030</w:t>
      </w:r>
      <w:r w:rsidR="002563D3">
        <w:rPr>
          <w:rFonts w:cstheme="minorHAnsi"/>
          <w:sz w:val="24"/>
          <w:szCs w:val="24"/>
        </w:rPr>
        <w:t>,</w:t>
      </w:r>
      <w:r w:rsidRPr="0089635F">
        <w:rPr>
          <w:rFonts w:cstheme="minorHAnsi"/>
          <w:sz w:val="24"/>
          <w:szCs w:val="24"/>
        </w:rPr>
        <w:t xml:space="preserve"> includes several sectors such as mining of hard coal, extraction of crude petroleum, mining of iron ores, mining of other non-ferrous metal ores and minerals, chemical and fertiliser. </w:t>
      </w:r>
      <w:r w:rsidR="002563D3">
        <w:rPr>
          <w:rFonts w:cstheme="minorHAnsi"/>
          <w:sz w:val="24"/>
          <w:szCs w:val="24"/>
        </w:rPr>
        <w:t>The s</w:t>
      </w:r>
      <w:r w:rsidRPr="0089635F">
        <w:rPr>
          <w:rFonts w:cstheme="minorHAnsi"/>
          <w:sz w:val="24"/>
          <w:szCs w:val="24"/>
        </w:rPr>
        <w:t xml:space="preserve">ectors listed are provided 100% free allowances to cover their emissions. These allowances are deemed to be transitional </w:t>
      </w:r>
      <w:r>
        <w:rPr>
          <w:rFonts w:cstheme="minorHAnsi"/>
          <w:sz w:val="24"/>
          <w:szCs w:val="24"/>
        </w:rPr>
        <w:t>but</w:t>
      </w:r>
      <w:r w:rsidRPr="0089635F">
        <w:rPr>
          <w:rFonts w:cstheme="minorHAnsi"/>
          <w:sz w:val="24"/>
          <w:szCs w:val="24"/>
        </w:rPr>
        <w:t xml:space="preserve"> </w:t>
      </w:r>
      <w:r w:rsidR="002563D3">
        <w:rPr>
          <w:rFonts w:cstheme="minorHAnsi"/>
          <w:sz w:val="24"/>
          <w:szCs w:val="24"/>
        </w:rPr>
        <w:t xml:space="preserve">have </w:t>
      </w:r>
      <w:r w:rsidRPr="0089635F">
        <w:rPr>
          <w:rFonts w:cstheme="minorHAnsi"/>
          <w:sz w:val="24"/>
          <w:szCs w:val="24"/>
        </w:rPr>
        <w:t>continue</w:t>
      </w:r>
      <w:r w:rsidR="002563D3">
        <w:rPr>
          <w:rFonts w:cstheme="minorHAnsi"/>
          <w:sz w:val="24"/>
          <w:szCs w:val="24"/>
        </w:rPr>
        <w:t>d</w:t>
      </w:r>
      <w:r w:rsidRPr="0089635F">
        <w:rPr>
          <w:rFonts w:cstheme="minorHAnsi"/>
          <w:sz w:val="24"/>
          <w:szCs w:val="24"/>
        </w:rPr>
        <w:t xml:space="preserve"> to be allocated since 2003.</w:t>
      </w:r>
    </w:p>
    <w:p w14:paraId="3A27A433" w14:textId="77777777" w:rsidR="00A1716E" w:rsidRDefault="00A1716E" w:rsidP="00A1716E">
      <w:pPr>
        <w:spacing w:after="0" w:line="276" w:lineRule="auto"/>
        <w:jc w:val="both"/>
        <w:rPr>
          <w:rFonts w:cstheme="minorHAnsi"/>
          <w:sz w:val="24"/>
          <w:szCs w:val="24"/>
        </w:rPr>
      </w:pPr>
    </w:p>
    <w:p w14:paraId="5C225C2E" w14:textId="5F53B95D" w:rsidR="004F31CD" w:rsidRDefault="004F31CD" w:rsidP="00A1716E">
      <w:pPr>
        <w:spacing w:after="0" w:line="276" w:lineRule="auto"/>
        <w:jc w:val="both"/>
        <w:rPr>
          <w:rFonts w:cstheme="minorHAnsi"/>
          <w:sz w:val="24"/>
          <w:szCs w:val="24"/>
        </w:rPr>
      </w:pPr>
      <w:r>
        <w:rPr>
          <w:rFonts w:cstheme="minorHAnsi"/>
          <w:sz w:val="24"/>
          <w:szCs w:val="24"/>
        </w:rPr>
        <w:t>In</w:t>
      </w:r>
      <w:r w:rsidR="001737E4">
        <w:rPr>
          <w:rFonts w:cstheme="minorHAnsi"/>
          <w:sz w:val="24"/>
          <w:szCs w:val="24"/>
        </w:rPr>
        <w:t xml:space="preserve"> </w:t>
      </w:r>
      <w:r>
        <w:rPr>
          <w:rFonts w:cstheme="minorHAnsi"/>
          <w:sz w:val="24"/>
          <w:szCs w:val="24"/>
        </w:rPr>
        <w:t xml:space="preserve">fact, in certain </w:t>
      </w:r>
      <w:r w:rsidR="002E0878">
        <w:rPr>
          <w:rFonts w:cstheme="minorHAnsi"/>
          <w:sz w:val="24"/>
          <w:szCs w:val="24"/>
        </w:rPr>
        <w:t xml:space="preserve">CBAM </w:t>
      </w:r>
      <w:r>
        <w:rPr>
          <w:rFonts w:cstheme="minorHAnsi"/>
          <w:sz w:val="24"/>
          <w:szCs w:val="24"/>
        </w:rPr>
        <w:t>sectors like production of iron and steel,</w:t>
      </w:r>
      <w:r w:rsidR="005043E7">
        <w:rPr>
          <w:rFonts w:cstheme="minorHAnsi"/>
          <w:sz w:val="24"/>
          <w:szCs w:val="24"/>
        </w:rPr>
        <w:t xml:space="preserve"> </w:t>
      </w:r>
      <w:r w:rsidR="00B37CC0">
        <w:rPr>
          <w:rFonts w:cstheme="minorHAnsi"/>
          <w:sz w:val="24"/>
          <w:szCs w:val="24"/>
        </w:rPr>
        <w:t>and</w:t>
      </w:r>
      <w:r w:rsidR="005043E7">
        <w:rPr>
          <w:rFonts w:cstheme="minorHAnsi"/>
          <w:sz w:val="24"/>
          <w:szCs w:val="24"/>
        </w:rPr>
        <w:t xml:space="preserve"> </w:t>
      </w:r>
      <w:r w:rsidR="008D6781">
        <w:rPr>
          <w:rFonts w:cstheme="minorHAnsi"/>
          <w:sz w:val="24"/>
          <w:szCs w:val="24"/>
        </w:rPr>
        <w:t>primary and secondary aluminium production</w:t>
      </w:r>
      <w:r w:rsidR="005043E7">
        <w:rPr>
          <w:rFonts w:cstheme="minorHAnsi"/>
          <w:sz w:val="24"/>
          <w:szCs w:val="24"/>
        </w:rPr>
        <w:t>,</w:t>
      </w:r>
      <w:r>
        <w:rPr>
          <w:rFonts w:cstheme="minorHAnsi"/>
          <w:sz w:val="24"/>
          <w:szCs w:val="24"/>
        </w:rPr>
        <w:t xml:space="preserve"> </w:t>
      </w:r>
      <w:r w:rsidR="00B37CC0">
        <w:rPr>
          <w:rFonts w:cstheme="minorHAnsi"/>
          <w:sz w:val="24"/>
          <w:szCs w:val="24"/>
        </w:rPr>
        <w:t xml:space="preserve">free </w:t>
      </w:r>
      <w:r w:rsidR="00B93A42">
        <w:rPr>
          <w:rFonts w:cstheme="minorHAnsi"/>
          <w:sz w:val="24"/>
          <w:szCs w:val="24"/>
        </w:rPr>
        <w:t>emission</w:t>
      </w:r>
      <w:r w:rsidR="005F78F0">
        <w:rPr>
          <w:rFonts w:cstheme="minorHAnsi"/>
          <w:sz w:val="24"/>
          <w:szCs w:val="24"/>
        </w:rPr>
        <w:t>s</w:t>
      </w:r>
      <w:r w:rsidR="00B93A42">
        <w:rPr>
          <w:rFonts w:cstheme="minorHAnsi"/>
          <w:sz w:val="24"/>
          <w:szCs w:val="24"/>
        </w:rPr>
        <w:t xml:space="preserve"> </w:t>
      </w:r>
      <w:r w:rsidR="00B37CC0">
        <w:rPr>
          <w:rFonts w:cstheme="minorHAnsi"/>
          <w:sz w:val="24"/>
          <w:szCs w:val="24"/>
        </w:rPr>
        <w:t xml:space="preserve">allowances largely continue to be much higher than verified emissions, </w:t>
      </w:r>
      <w:r w:rsidR="008D6781">
        <w:rPr>
          <w:rFonts w:cstheme="minorHAnsi"/>
          <w:sz w:val="24"/>
          <w:szCs w:val="24"/>
        </w:rPr>
        <w:t>as can be seen in data provided by the EU in Figure</w:t>
      </w:r>
      <w:r w:rsidR="00B37CC0">
        <w:rPr>
          <w:rFonts w:cstheme="minorHAnsi"/>
          <w:sz w:val="24"/>
          <w:szCs w:val="24"/>
        </w:rPr>
        <w:t>s</w:t>
      </w:r>
      <w:r w:rsidR="008D6781">
        <w:rPr>
          <w:rFonts w:cstheme="minorHAnsi"/>
          <w:sz w:val="24"/>
          <w:szCs w:val="24"/>
        </w:rPr>
        <w:t xml:space="preserve"> 1 and 2</w:t>
      </w:r>
      <w:r>
        <w:rPr>
          <w:rFonts w:cstheme="minorHAnsi"/>
          <w:sz w:val="24"/>
          <w:szCs w:val="24"/>
        </w:rPr>
        <w:t xml:space="preserve">. Does that make a mockery of the whole emissions reduction campaign that the EU has engulfed the entire world in? </w:t>
      </w:r>
    </w:p>
    <w:p w14:paraId="5E67033C" w14:textId="77777777" w:rsidR="002E0878" w:rsidRDefault="002E0878" w:rsidP="00A1716E">
      <w:pPr>
        <w:spacing w:after="0" w:line="276" w:lineRule="auto"/>
        <w:jc w:val="both"/>
        <w:rPr>
          <w:rFonts w:cstheme="minorHAnsi"/>
          <w:sz w:val="24"/>
          <w:szCs w:val="24"/>
        </w:rPr>
      </w:pPr>
    </w:p>
    <w:p w14:paraId="14FB519E" w14:textId="77777777" w:rsidR="000A0F6E" w:rsidRDefault="000A0F6E" w:rsidP="00A1716E">
      <w:pPr>
        <w:spacing w:after="0" w:line="240" w:lineRule="auto"/>
        <w:jc w:val="center"/>
        <w:rPr>
          <w:rFonts w:cstheme="minorHAnsi"/>
          <w:b/>
          <w:bCs/>
          <w:sz w:val="24"/>
          <w:szCs w:val="24"/>
        </w:rPr>
      </w:pPr>
    </w:p>
    <w:p w14:paraId="21BE5B7B" w14:textId="77777777" w:rsidR="002B5D40" w:rsidRDefault="002B5D40" w:rsidP="00A1716E">
      <w:pPr>
        <w:spacing w:after="0" w:line="240" w:lineRule="auto"/>
        <w:jc w:val="center"/>
        <w:rPr>
          <w:rFonts w:cstheme="minorHAnsi"/>
          <w:b/>
          <w:bCs/>
          <w:sz w:val="24"/>
          <w:szCs w:val="24"/>
        </w:rPr>
      </w:pPr>
    </w:p>
    <w:p w14:paraId="268443F3" w14:textId="29FB1E19" w:rsidR="005043E7" w:rsidRPr="000A0F6E" w:rsidRDefault="005043E7" w:rsidP="00A1716E">
      <w:pPr>
        <w:spacing w:after="0" w:line="240" w:lineRule="auto"/>
        <w:jc w:val="center"/>
        <w:rPr>
          <w:rFonts w:cstheme="minorHAnsi"/>
          <w:b/>
          <w:bCs/>
          <w:sz w:val="24"/>
          <w:szCs w:val="24"/>
        </w:rPr>
      </w:pPr>
      <w:r w:rsidRPr="000A0F6E">
        <w:rPr>
          <w:rFonts w:cstheme="minorHAnsi"/>
          <w:b/>
          <w:bCs/>
          <w:sz w:val="24"/>
          <w:szCs w:val="24"/>
        </w:rPr>
        <w:lastRenderedPageBreak/>
        <w:t>Figure 1</w:t>
      </w:r>
    </w:p>
    <w:p w14:paraId="174CECCE" w14:textId="3B5D720F" w:rsidR="000F7759" w:rsidRPr="000A0F6E" w:rsidRDefault="000F7759" w:rsidP="00A1716E">
      <w:pPr>
        <w:spacing w:after="0" w:line="276" w:lineRule="auto"/>
        <w:jc w:val="center"/>
        <w:rPr>
          <w:rFonts w:cstheme="minorHAnsi"/>
          <w:b/>
          <w:bCs/>
          <w:sz w:val="24"/>
          <w:szCs w:val="24"/>
        </w:rPr>
      </w:pPr>
      <w:r w:rsidRPr="000A0F6E">
        <w:rPr>
          <w:rFonts w:cstheme="minorHAnsi"/>
          <w:b/>
          <w:bCs/>
          <w:sz w:val="24"/>
          <w:szCs w:val="24"/>
        </w:rPr>
        <w:t xml:space="preserve">Allowances and </w:t>
      </w:r>
      <w:r w:rsidR="000A0F6E">
        <w:rPr>
          <w:rFonts w:cstheme="minorHAnsi"/>
          <w:b/>
          <w:bCs/>
          <w:sz w:val="24"/>
          <w:szCs w:val="24"/>
        </w:rPr>
        <w:t>e</w:t>
      </w:r>
      <w:r w:rsidRPr="000A0F6E">
        <w:rPr>
          <w:rFonts w:cstheme="minorHAnsi"/>
          <w:b/>
          <w:bCs/>
          <w:sz w:val="24"/>
          <w:szCs w:val="24"/>
        </w:rPr>
        <w:t xml:space="preserve">missions for production of pig iron and steel under </w:t>
      </w:r>
      <w:r w:rsidR="000A0F6E">
        <w:rPr>
          <w:rFonts w:cstheme="minorHAnsi"/>
          <w:b/>
          <w:bCs/>
          <w:sz w:val="24"/>
          <w:szCs w:val="24"/>
        </w:rPr>
        <w:t xml:space="preserve">the </w:t>
      </w:r>
      <w:r w:rsidRPr="000A0F6E">
        <w:rPr>
          <w:rFonts w:cstheme="minorHAnsi"/>
          <w:b/>
          <w:bCs/>
          <w:sz w:val="24"/>
          <w:szCs w:val="24"/>
        </w:rPr>
        <w:t>EU ETS</w:t>
      </w:r>
    </w:p>
    <w:p w14:paraId="40DB5624" w14:textId="33733E57" w:rsidR="004F31CD" w:rsidRDefault="00420012" w:rsidP="00A1716E">
      <w:pPr>
        <w:spacing w:after="0" w:line="276" w:lineRule="auto"/>
        <w:jc w:val="center"/>
        <w:rPr>
          <w:rFonts w:cstheme="minorHAnsi"/>
          <w:sz w:val="24"/>
          <w:szCs w:val="24"/>
        </w:rPr>
      </w:pPr>
      <w:r>
        <w:rPr>
          <w:rFonts w:cstheme="minorHAnsi"/>
          <w:noProof/>
          <w:sz w:val="24"/>
          <w:szCs w:val="24"/>
        </w:rPr>
        <w:drawing>
          <wp:inline distT="0" distB="0" distL="0" distR="0" wp14:anchorId="672B5776" wp14:editId="32A85A36">
            <wp:extent cx="5731510" cy="3187700"/>
            <wp:effectExtent l="0" t="0" r="2540" b="0"/>
            <wp:docPr id="130295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52453" name="Picture 1302952453"/>
                    <pic:cNvPicPr/>
                  </pic:nvPicPr>
                  <pic:blipFill>
                    <a:blip r:embed="rId12">
                      <a:extLst>
                        <a:ext uri="{28A0092B-C50C-407E-A947-70E740481C1C}">
                          <a14:useLocalDpi xmlns:a14="http://schemas.microsoft.com/office/drawing/2010/main" val="0"/>
                        </a:ext>
                      </a:extLst>
                    </a:blip>
                    <a:stretch>
                      <a:fillRect/>
                    </a:stretch>
                  </pic:blipFill>
                  <pic:spPr>
                    <a:xfrm>
                      <a:off x="0" y="0"/>
                      <a:ext cx="5731510" cy="3187700"/>
                    </a:xfrm>
                    <a:prstGeom prst="rect">
                      <a:avLst/>
                    </a:prstGeom>
                  </pic:spPr>
                </pic:pic>
              </a:graphicData>
            </a:graphic>
          </wp:inline>
        </w:drawing>
      </w:r>
    </w:p>
    <w:p w14:paraId="5CF72F83" w14:textId="633E78B5" w:rsidR="000A0F6E" w:rsidRPr="005F78F0" w:rsidRDefault="00027B44" w:rsidP="00027B44">
      <w:pPr>
        <w:spacing w:after="0" w:line="240" w:lineRule="auto"/>
        <w:jc w:val="both"/>
        <w:rPr>
          <w:rFonts w:cstheme="minorHAnsi"/>
          <w:sz w:val="16"/>
          <w:szCs w:val="16"/>
        </w:rPr>
      </w:pPr>
      <w:r w:rsidRPr="005F78F0">
        <w:rPr>
          <w:rFonts w:cstheme="minorHAnsi"/>
          <w:sz w:val="16"/>
          <w:szCs w:val="16"/>
        </w:rPr>
        <w:t xml:space="preserve">Source: </w:t>
      </w:r>
      <w:hyperlink r:id="rId13" w:history="1">
        <w:r w:rsidRPr="005F78F0">
          <w:rPr>
            <w:rStyle w:val="Hyperlink"/>
            <w:rFonts w:cstheme="minorHAnsi"/>
            <w:sz w:val="16"/>
            <w:szCs w:val="16"/>
          </w:rPr>
          <w:t>https://www.eea.europa.eu/data-and-maps/dashboards/emissions-trading-viewer-1</w:t>
        </w:r>
      </w:hyperlink>
      <w:r>
        <w:rPr>
          <w:rFonts w:cstheme="minorHAnsi"/>
          <w:sz w:val="16"/>
          <w:szCs w:val="16"/>
        </w:rPr>
        <w:t xml:space="preserve">, </w:t>
      </w:r>
      <w:r w:rsidRPr="000F7759">
        <w:rPr>
          <w:rFonts w:cstheme="minorHAnsi"/>
          <w:sz w:val="16"/>
          <w:szCs w:val="16"/>
        </w:rPr>
        <w:t>retrieved on 26 Feb</w:t>
      </w:r>
      <w:r>
        <w:rPr>
          <w:rFonts w:cstheme="minorHAnsi"/>
          <w:sz w:val="16"/>
          <w:szCs w:val="16"/>
        </w:rPr>
        <w:t>ruary</w:t>
      </w:r>
      <w:r w:rsidRPr="000F7759">
        <w:rPr>
          <w:rFonts w:cstheme="minorHAnsi"/>
          <w:sz w:val="16"/>
          <w:szCs w:val="16"/>
        </w:rPr>
        <w:t xml:space="preserve"> 2024</w:t>
      </w:r>
    </w:p>
    <w:p w14:paraId="7C5ECF59" w14:textId="77777777" w:rsidR="00027B44" w:rsidRDefault="00027B44" w:rsidP="00A1716E">
      <w:pPr>
        <w:spacing w:after="0" w:line="240" w:lineRule="auto"/>
        <w:jc w:val="center"/>
        <w:rPr>
          <w:rFonts w:cstheme="minorHAnsi"/>
          <w:b/>
          <w:bCs/>
          <w:sz w:val="24"/>
          <w:szCs w:val="24"/>
        </w:rPr>
      </w:pPr>
    </w:p>
    <w:p w14:paraId="73C2929E" w14:textId="77777777" w:rsidR="00027B44" w:rsidRDefault="00027B44" w:rsidP="00A1716E">
      <w:pPr>
        <w:spacing w:after="0" w:line="240" w:lineRule="auto"/>
        <w:jc w:val="center"/>
        <w:rPr>
          <w:rFonts w:cstheme="minorHAnsi"/>
          <w:b/>
          <w:bCs/>
          <w:sz w:val="24"/>
          <w:szCs w:val="24"/>
        </w:rPr>
      </w:pPr>
    </w:p>
    <w:p w14:paraId="16CB8523" w14:textId="5C45906D" w:rsidR="005043E7" w:rsidRPr="000A0F6E" w:rsidRDefault="005043E7" w:rsidP="00A1716E">
      <w:pPr>
        <w:spacing w:after="0" w:line="240" w:lineRule="auto"/>
        <w:jc w:val="center"/>
        <w:rPr>
          <w:rFonts w:cstheme="minorHAnsi"/>
          <w:b/>
          <w:bCs/>
          <w:sz w:val="24"/>
          <w:szCs w:val="24"/>
        </w:rPr>
      </w:pPr>
      <w:r w:rsidRPr="000A0F6E">
        <w:rPr>
          <w:rFonts w:cstheme="minorHAnsi"/>
          <w:b/>
          <w:bCs/>
          <w:sz w:val="24"/>
          <w:szCs w:val="24"/>
        </w:rPr>
        <w:t>Figure 2</w:t>
      </w:r>
    </w:p>
    <w:p w14:paraId="59C94F38" w14:textId="179635C1" w:rsidR="005043E7" w:rsidRPr="000A0F6E" w:rsidRDefault="005043E7" w:rsidP="00A1716E">
      <w:pPr>
        <w:spacing w:after="0" w:line="276" w:lineRule="auto"/>
        <w:jc w:val="center"/>
        <w:rPr>
          <w:rFonts w:cstheme="minorHAnsi"/>
          <w:b/>
          <w:bCs/>
          <w:sz w:val="24"/>
          <w:szCs w:val="24"/>
        </w:rPr>
      </w:pPr>
      <w:r w:rsidRPr="000A0F6E">
        <w:rPr>
          <w:rFonts w:cstheme="minorHAnsi"/>
          <w:b/>
          <w:bCs/>
          <w:sz w:val="24"/>
          <w:szCs w:val="24"/>
        </w:rPr>
        <w:t xml:space="preserve">Allowances and </w:t>
      </w:r>
      <w:r w:rsidR="000A0F6E">
        <w:rPr>
          <w:rFonts w:cstheme="minorHAnsi"/>
          <w:b/>
          <w:bCs/>
          <w:sz w:val="24"/>
          <w:szCs w:val="24"/>
        </w:rPr>
        <w:t>e</w:t>
      </w:r>
      <w:r w:rsidRPr="000A0F6E">
        <w:rPr>
          <w:rFonts w:cstheme="minorHAnsi"/>
          <w:b/>
          <w:bCs/>
          <w:sz w:val="24"/>
          <w:szCs w:val="24"/>
        </w:rPr>
        <w:t xml:space="preserve">missions for production of primary and secondary aluminium under </w:t>
      </w:r>
      <w:r w:rsidR="000A0F6E">
        <w:rPr>
          <w:rFonts w:cstheme="minorHAnsi"/>
          <w:b/>
          <w:bCs/>
          <w:sz w:val="24"/>
          <w:szCs w:val="24"/>
        </w:rPr>
        <w:t xml:space="preserve">the </w:t>
      </w:r>
      <w:r w:rsidRPr="000A0F6E">
        <w:rPr>
          <w:rFonts w:cstheme="minorHAnsi"/>
          <w:b/>
          <w:bCs/>
          <w:sz w:val="24"/>
          <w:szCs w:val="24"/>
        </w:rPr>
        <w:t xml:space="preserve">EU ETS </w:t>
      </w:r>
    </w:p>
    <w:p w14:paraId="549FA3A2" w14:textId="409E4E41" w:rsidR="005043E7" w:rsidRPr="005043E7" w:rsidRDefault="00420012" w:rsidP="00027B44">
      <w:pPr>
        <w:spacing w:after="0" w:line="240" w:lineRule="auto"/>
        <w:jc w:val="center"/>
        <w:rPr>
          <w:rFonts w:cstheme="minorHAnsi"/>
          <w:sz w:val="16"/>
          <w:szCs w:val="16"/>
        </w:rPr>
      </w:pPr>
      <w:r>
        <w:rPr>
          <w:rFonts w:cstheme="minorHAnsi"/>
          <w:noProof/>
          <w:sz w:val="16"/>
          <w:szCs w:val="16"/>
        </w:rPr>
        <w:drawing>
          <wp:inline distT="0" distB="0" distL="0" distR="0" wp14:anchorId="142CE596" wp14:editId="1EC85294">
            <wp:extent cx="5731510" cy="3328035"/>
            <wp:effectExtent l="0" t="0" r="2540" b="5715"/>
            <wp:docPr id="804499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99626" name="Picture 8044996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328035"/>
                    </a:xfrm>
                    <a:prstGeom prst="rect">
                      <a:avLst/>
                    </a:prstGeom>
                  </pic:spPr>
                </pic:pic>
              </a:graphicData>
            </a:graphic>
          </wp:inline>
        </w:drawing>
      </w:r>
    </w:p>
    <w:p w14:paraId="194096D7" w14:textId="2B829647" w:rsidR="000F7759" w:rsidRPr="005F78F0" w:rsidRDefault="000F7759" w:rsidP="00027B44">
      <w:pPr>
        <w:spacing w:after="0" w:line="240" w:lineRule="auto"/>
        <w:jc w:val="both"/>
        <w:rPr>
          <w:rFonts w:cstheme="minorHAnsi"/>
          <w:sz w:val="16"/>
          <w:szCs w:val="16"/>
        </w:rPr>
      </w:pPr>
      <w:r w:rsidRPr="005F78F0">
        <w:rPr>
          <w:rFonts w:cstheme="minorHAnsi"/>
          <w:sz w:val="16"/>
          <w:szCs w:val="16"/>
        </w:rPr>
        <w:t xml:space="preserve">Source: </w:t>
      </w:r>
      <w:hyperlink r:id="rId15" w:history="1">
        <w:r w:rsidRPr="005F78F0">
          <w:rPr>
            <w:rStyle w:val="Hyperlink"/>
            <w:rFonts w:cstheme="minorHAnsi"/>
            <w:sz w:val="16"/>
            <w:szCs w:val="16"/>
          </w:rPr>
          <w:t>https://www.eea.europa.eu/data-and-maps/dashboards/emissions-trading-viewer-1</w:t>
        </w:r>
      </w:hyperlink>
      <w:r w:rsidR="00027B44">
        <w:rPr>
          <w:rFonts w:cstheme="minorHAnsi"/>
          <w:sz w:val="16"/>
          <w:szCs w:val="16"/>
        </w:rPr>
        <w:t xml:space="preserve">, </w:t>
      </w:r>
      <w:r w:rsidRPr="000F7759">
        <w:rPr>
          <w:rFonts w:cstheme="minorHAnsi"/>
          <w:sz w:val="16"/>
          <w:szCs w:val="16"/>
        </w:rPr>
        <w:t>retrieved on 26 Feb</w:t>
      </w:r>
      <w:r w:rsidR="00027B44">
        <w:rPr>
          <w:rFonts w:cstheme="minorHAnsi"/>
          <w:sz w:val="16"/>
          <w:szCs w:val="16"/>
        </w:rPr>
        <w:t>ruary</w:t>
      </w:r>
      <w:r w:rsidRPr="000F7759">
        <w:rPr>
          <w:rFonts w:cstheme="minorHAnsi"/>
          <w:sz w:val="16"/>
          <w:szCs w:val="16"/>
        </w:rPr>
        <w:t xml:space="preserve"> 2024</w:t>
      </w:r>
    </w:p>
    <w:p w14:paraId="46E46144" w14:textId="77777777" w:rsidR="00A1716E" w:rsidRDefault="00A1716E" w:rsidP="00A1716E">
      <w:pPr>
        <w:spacing w:after="0" w:line="276" w:lineRule="auto"/>
        <w:jc w:val="both"/>
        <w:rPr>
          <w:rFonts w:cstheme="minorHAnsi"/>
          <w:sz w:val="24"/>
          <w:szCs w:val="24"/>
        </w:rPr>
      </w:pPr>
    </w:p>
    <w:p w14:paraId="69DABA88" w14:textId="77777777" w:rsidR="00027B44" w:rsidRDefault="00027B44" w:rsidP="00A1716E">
      <w:pPr>
        <w:spacing w:after="0" w:line="276" w:lineRule="auto"/>
        <w:jc w:val="both"/>
        <w:rPr>
          <w:rFonts w:cstheme="minorHAnsi"/>
          <w:sz w:val="24"/>
          <w:szCs w:val="24"/>
        </w:rPr>
      </w:pPr>
    </w:p>
    <w:p w14:paraId="5588D41B" w14:textId="6F0E6256" w:rsidR="00104172" w:rsidRDefault="00B138EA" w:rsidP="00A1716E">
      <w:pPr>
        <w:spacing w:after="0" w:line="276" w:lineRule="auto"/>
        <w:jc w:val="both"/>
        <w:rPr>
          <w:rFonts w:cstheme="minorHAnsi"/>
          <w:sz w:val="24"/>
          <w:szCs w:val="24"/>
        </w:rPr>
      </w:pPr>
      <w:r w:rsidRPr="0089635F">
        <w:rPr>
          <w:rFonts w:cstheme="minorHAnsi"/>
          <w:sz w:val="24"/>
          <w:szCs w:val="24"/>
        </w:rPr>
        <w:lastRenderedPageBreak/>
        <w:t>In addition to free allowances to industr</w:t>
      </w:r>
      <w:r w:rsidR="001431BE">
        <w:rPr>
          <w:rFonts w:cstheme="minorHAnsi"/>
          <w:sz w:val="24"/>
          <w:szCs w:val="24"/>
        </w:rPr>
        <w:t>ies</w:t>
      </w:r>
      <w:r w:rsidRPr="0089635F">
        <w:rPr>
          <w:rFonts w:cstheme="minorHAnsi"/>
          <w:sz w:val="24"/>
          <w:szCs w:val="24"/>
        </w:rPr>
        <w:t xml:space="preserve"> perceived to be at risk of carbon leakage, </w:t>
      </w:r>
      <w:r w:rsidR="001431BE">
        <w:rPr>
          <w:rFonts w:cstheme="minorHAnsi"/>
          <w:sz w:val="24"/>
          <w:szCs w:val="24"/>
        </w:rPr>
        <w:t xml:space="preserve">the </w:t>
      </w:r>
      <w:r w:rsidRPr="0089635F">
        <w:rPr>
          <w:rFonts w:cstheme="minorHAnsi"/>
          <w:sz w:val="24"/>
          <w:szCs w:val="24"/>
        </w:rPr>
        <w:t xml:space="preserve">EU has also authorised state aid to installations that have high electricity costs and face significant international competition. State aid </w:t>
      </w:r>
      <w:r w:rsidR="00ED2C18">
        <w:rPr>
          <w:rFonts w:cstheme="minorHAnsi"/>
          <w:sz w:val="24"/>
          <w:szCs w:val="24"/>
        </w:rPr>
        <w:t xml:space="preserve">in </w:t>
      </w:r>
      <w:r w:rsidR="001431BE">
        <w:rPr>
          <w:rFonts w:cstheme="minorHAnsi"/>
          <w:sz w:val="24"/>
          <w:szCs w:val="24"/>
        </w:rPr>
        <w:t xml:space="preserve">the order of </w:t>
      </w:r>
      <w:r w:rsidR="00ED2C18">
        <w:rPr>
          <w:rFonts w:cstheme="minorHAnsi"/>
          <w:sz w:val="24"/>
          <w:szCs w:val="24"/>
        </w:rPr>
        <w:t xml:space="preserve">billions of </w:t>
      </w:r>
      <w:r w:rsidR="001431BE">
        <w:rPr>
          <w:rFonts w:cstheme="minorHAnsi"/>
          <w:sz w:val="24"/>
          <w:szCs w:val="24"/>
        </w:rPr>
        <w:t xml:space="preserve">euros </w:t>
      </w:r>
      <w:r w:rsidRPr="0089635F">
        <w:rPr>
          <w:rFonts w:cstheme="minorHAnsi"/>
          <w:sz w:val="24"/>
          <w:szCs w:val="24"/>
        </w:rPr>
        <w:t xml:space="preserve">will continue to support these industries until 2030. Funds have been allocated to all </w:t>
      </w:r>
      <w:r w:rsidR="001431BE">
        <w:rPr>
          <w:rFonts w:cstheme="minorHAnsi"/>
          <w:sz w:val="24"/>
          <w:szCs w:val="24"/>
        </w:rPr>
        <w:t xml:space="preserve">EU </w:t>
      </w:r>
      <w:r w:rsidRPr="0089635F">
        <w:rPr>
          <w:rFonts w:cstheme="minorHAnsi"/>
          <w:sz w:val="24"/>
          <w:szCs w:val="24"/>
        </w:rPr>
        <w:t>member states to be spent on supporting industry till 2030.</w:t>
      </w:r>
      <w:r w:rsidR="00104172">
        <w:rPr>
          <w:rFonts w:cstheme="minorHAnsi"/>
          <w:sz w:val="24"/>
          <w:szCs w:val="24"/>
        </w:rPr>
        <w:t xml:space="preserve"> </w:t>
      </w:r>
      <w:r w:rsidR="00104172" w:rsidRPr="0089635F">
        <w:rPr>
          <w:rFonts w:cstheme="minorHAnsi"/>
          <w:sz w:val="24"/>
          <w:szCs w:val="24"/>
        </w:rPr>
        <w:t>Germany (</w:t>
      </w:r>
      <w:r w:rsidR="001431BE" w:rsidRPr="0089635F">
        <w:rPr>
          <w:rFonts w:cstheme="minorHAnsi"/>
          <w:sz w:val="24"/>
          <w:szCs w:val="24"/>
        </w:rPr>
        <w:t>€</w:t>
      </w:r>
      <w:r w:rsidR="00104172" w:rsidRPr="0089635F">
        <w:rPr>
          <w:rFonts w:cstheme="minorHAnsi"/>
          <w:sz w:val="24"/>
          <w:szCs w:val="24"/>
        </w:rPr>
        <w:t>27.5 billion), Spain (</w:t>
      </w:r>
      <w:r w:rsidR="001431BE" w:rsidRPr="0089635F">
        <w:rPr>
          <w:rFonts w:cstheme="minorHAnsi"/>
          <w:sz w:val="24"/>
          <w:szCs w:val="24"/>
        </w:rPr>
        <w:t>€</w:t>
      </w:r>
      <w:r w:rsidR="00104172" w:rsidRPr="0089635F">
        <w:rPr>
          <w:rFonts w:cstheme="minorHAnsi"/>
          <w:sz w:val="24"/>
          <w:szCs w:val="24"/>
        </w:rPr>
        <w:t>2.9 billion)</w:t>
      </w:r>
      <w:r w:rsidR="00104172">
        <w:rPr>
          <w:rFonts w:cstheme="minorHAnsi"/>
          <w:sz w:val="24"/>
          <w:szCs w:val="24"/>
        </w:rPr>
        <w:t xml:space="preserve"> </w:t>
      </w:r>
      <w:r w:rsidR="001431BE">
        <w:rPr>
          <w:rFonts w:cstheme="minorHAnsi"/>
          <w:sz w:val="24"/>
          <w:szCs w:val="24"/>
        </w:rPr>
        <w:t xml:space="preserve">and </w:t>
      </w:r>
      <w:r w:rsidR="001431BE" w:rsidRPr="0089635F">
        <w:rPr>
          <w:rFonts w:cstheme="minorHAnsi"/>
          <w:sz w:val="24"/>
          <w:szCs w:val="24"/>
        </w:rPr>
        <w:t xml:space="preserve">Italy (€1.49 billion) </w:t>
      </w:r>
      <w:r w:rsidR="00104172">
        <w:rPr>
          <w:rFonts w:cstheme="minorHAnsi"/>
          <w:sz w:val="24"/>
          <w:szCs w:val="24"/>
        </w:rPr>
        <w:t>are some of the indicative allocations.</w:t>
      </w:r>
      <w:bookmarkStart w:id="1" w:name="_Toc136545736"/>
      <w:bookmarkStart w:id="2" w:name="_Toc137497415"/>
    </w:p>
    <w:p w14:paraId="03482165" w14:textId="77777777" w:rsidR="00A1716E" w:rsidRPr="001431BE" w:rsidRDefault="00A1716E" w:rsidP="00A1716E">
      <w:pPr>
        <w:spacing w:after="0" w:line="276" w:lineRule="auto"/>
        <w:jc w:val="both"/>
        <w:rPr>
          <w:b/>
          <w:bCs/>
          <w:sz w:val="24"/>
          <w:szCs w:val="24"/>
        </w:rPr>
      </w:pPr>
    </w:p>
    <w:p w14:paraId="19304693" w14:textId="22D080B1" w:rsidR="00EE2E82" w:rsidRPr="001431BE" w:rsidRDefault="00EE2E82" w:rsidP="00A1716E">
      <w:pPr>
        <w:spacing w:after="0" w:line="276" w:lineRule="auto"/>
        <w:jc w:val="both"/>
        <w:rPr>
          <w:b/>
          <w:bCs/>
          <w:sz w:val="24"/>
          <w:szCs w:val="24"/>
        </w:rPr>
      </w:pPr>
      <w:r w:rsidRPr="001431BE">
        <w:rPr>
          <w:b/>
          <w:bCs/>
          <w:sz w:val="24"/>
          <w:szCs w:val="24"/>
        </w:rPr>
        <w:t xml:space="preserve">Implementation/administrative costs </w:t>
      </w:r>
      <w:bookmarkEnd w:id="1"/>
      <w:bookmarkEnd w:id="2"/>
    </w:p>
    <w:p w14:paraId="06C67196" w14:textId="77777777" w:rsidR="006B04D1" w:rsidRPr="001431BE" w:rsidRDefault="006B04D1" w:rsidP="00A1716E">
      <w:pPr>
        <w:spacing w:after="0" w:line="276" w:lineRule="auto"/>
        <w:jc w:val="both"/>
        <w:rPr>
          <w:rFonts w:cstheme="minorHAnsi"/>
          <w:sz w:val="24"/>
          <w:szCs w:val="24"/>
        </w:rPr>
      </w:pPr>
    </w:p>
    <w:p w14:paraId="6C1041D4" w14:textId="1484C7F6" w:rsidR="00EE2E82" w:rsidRPr="0089635F" w:rsidRDefault="00EE2E82" w:rsidP="00A1716E">
      <w:pPr>
        <w:spacing w:after="0" w:line="276" w:lineRule="auto"/>
        <w:jc w:val="both"/>
        <w:rPr>
          <w:rFonts w:cstheme="minorHAnsi"/>
          <w:sz w:val="24"/>
          <w:szCs w:val="24"/>
        </w:rPr>
      </w:pPr>
      <w:r w:rsidRPr="0089635F">
        <w:rPr>
          <w:rFonts w:cstheme="minorHAnsi"/>
          <w:sz w:val="24"/>
          <w:szCs w:val="24"/>
        </w:rPr>
        <w:t>A transparent, efficient and consistent</w:t>
      </w:r>
      <w:r w:rsidR="006C6B60">
        <w:rPr>
          <w:rFonts w:cstheme="minorHAnsi"/>
          <w:sz w:val="24"/>
          <w:szCs w:val="24"/>
        </w:rPr>
        <w:t xml:space="preserve"> </w:t>
      </w:r>
      <w:r w:rsidR="00CC0024">
        <w:rPr>
          <w:rFonts w:cstheme="minorHAnsi"/>
          <w:sz w:val="24"/>
          <w:szCs w:val="24"/>
        </w:rPr>
        <w:t>monitoring, reporting and verification (</w:t>
      </w:r>
      <w:r w:rsidRPr="0089635F">
        <w:rPr>
          <w:rFonts w:cstheme="minorHAnsi"/>
          <w:sz w:val="24"/>
          <w:szCs w:val="24"/>
        </w:rPr>
        <w:t>MRV</w:t>
      </w:r>
      <w:r w:rsidR="00CC0024">
        <w:rPr>
          <w:rFonts w:cstheme="minorHAnsi"/>
          <w:sz w:val="24"/>
          <w:szCs w:val="24"/>
        </w:rPr>
        <w:t>)</w:t>
      </w:r>
      <w:r w:rsidRPr="0089635F">
        <w:rPr>
          <w:rFonts w:cstheme="minorHAnsi"/>
          <w:sz w:val="24"/>
          <w:szCs w:val="24"/>
        </w:rPr>
        <w:t xml:space="preserve"> mechanism is the sine qua non of a stable and effective ETS. For the ETS to be trusted and to retain its integrity, it is necessary that one ton of carbon emissions measured, reported or verified in one country must be exactly the same as one ton measured, reported or verified in any other country. Given the number of actors involved in this process – competent authority/</w:t>
      </w:r>
      <w:proofErr w:type="spellStart"/>
      <w:r w:rsidRPr="0089635F">
        <w:rPr>
          <w:rFonts w:cstheme="minorHAnsi"/>
          <w:sz w:val="24"/>
          <w:szCs w:val="24"/>
        </w:rPr>
        <w:t>ies</w:t>
      </w:r>
      <w:proofErr w:type="spellEnd"/>
      <w:r w:rsidRPr="0089635F">
        <w:rPr>
          <w:rFonts w:cstheme="minorHAnsi"/>
          <w:sz w:val="24"/>
          <w:szCs w:val="24"/>
        </w:rPr>
        <w:t xml:space="preserve"> of each member state, operators, verifiers and national accreditation bodies</w:t>
      </w:r>
      <w:r w:rsidR="001431BE">
        <w:rPr>
          <w:rFonts w:cstheme="minorHAnsi"/>
          <w:sz w:val="24"/>
          <w:szCs w:val="24"/>
        </w:rPr>
        <w:t xml:space="preserve"> –</w:t>
      </w:r>
      <w:r w:rsidRPr="0089635F">
        <w:rPr>
          <w:rFonts w:cstheme="minorHAnsi"/>
          <w:sz w:val="24"/>
          <w:szCs w:val="24"/>
        </w:rPr>
        <w:t xml:space="preserve"> stringent compliance </w:t>
      </w:r>
      <w:r w:rsidR="001431BE">
        <w:rPr>
          <w:rFonts w:cstheme="minorHAnsi"/>
          <w:sz w:val="24"/>
          <w:szCs w:val="24"/>
        </w:rPr>
        <w:t>is</w:t>
      </w:r>
      <w:r w:rsidRPr="0089635F">
        <w:rPr>
          <w:rFonts w:cstheme="minorHAnsi"/>
          <w:sz w:val="24"/>
          <w:szCs w:val="24"/>
        </w:rPr>
        <w:t xml:space="preserve"> necessary from each actor in each stage of the MRV process. The MRV process and the required rigour </w:t>
      </w:r>
      <w:r w:rsidR="001431BE">
        <w:rPr>
          <w:rFonts w:cstheme="minorHAnsi"/>
          <w:sz w:val="24"/>
          <w:szCs w:val="24"/>
        </w:rPr>
        <w:t>in implementation entail</w:t>
      </w:r>
      <w:r w:rsidRPr="0089635F">
        <w:rPr>
          <w:rFonts w:cstheme="minorHAnsi"/>
          <w:sz w:val="24"/>
          <w:szCs w:val="24"/>
        </w:rPr>
        <w:t xml:space="preserve"> compliance costs not only </w:t>
      </w:r>
      <w:r w:rsidR="001431BE">
        <w:rPr>
          <w:rFonts w:cstheme="minorHAnsi"/>
          <w:sz w:val="24"/>
          <w:szCs w:val="24"/>
        </w:rPr>
        <w:t>for</w:t>
      </w:r>
      <w:r w:rsidRPr="0089635F">
        <w:rPr>
          <w:rFonts w:cstheme="minorHAnsi"/>
          <w:sz w:val="24"/>
          <w:szCs w:val="24"/>
        </w:rPr>
        <w:t xml:space="preserve"> industry installations but also </w:t>
      </w:r>
      <w:r w:rsidR="001431BE">
        <w:rPr>
          <w:rFonts w:cstheme="minorHAnsi"/>
          <w:sz w:val="24"/>
          <w:szCs w:val="24"/>
        </w:rPr>
        <w:t>for</w:t>
      </w:r>
      <w:r w:rsidRPr="0089635F">
        <w:rPr>
          <w:rFonts w:cstheme="minorHAnsi"/>
          <w:sz w:val="24"/>
          <w:szCs w:val="24"/>
        </w:rPr>
        <w:t xml:space="preserve"> the competent authorities of member states, verifiers and national accreditation bodies. </w:t>
      </w:r>
    </w:p>
    <w:p w14:paraId="0846720F" w14:textId="77777777" w:rsidR="00A1716E" w:rsidRDefault="00A1716E" w:rsidP="00A1716E">
      <w:pPr>
        <w:spacing w:after="0" w:line="276" w:lineRule="auto"/>
        <w:jc w:val="both"/>
        <w:rPr>
          <w:rFonts w:cstheme="minorHAnsi"/>
          <w:b/>
          <w:bCs/>
          <w:sz w:val="24"/>
          <w:szCs w:val="24"/>
        </w:rPr>
      </w:pPr>
    </w:p>
    <w:p w14:paraId="46BA4658" w14:textId="29BA3FC0" w:rsidR="00EE2E82" w:rsidRPr="00ED2C18" w:rsidRDefault="00CE74AB" w:rsidP="00A1716E">
      <w:pPr>
        <w:spacing w:after="0" w:line="276" w:lineRule="auto"/>
        <w:jc w:val="both"/>
        <w:rPr>
          <w:rFonts w:cstheme="minorHAnsi"/>
          <w:b/>
          <w:bCs/>
          <w:sz w:val="24"/>
          <w:szCs w:val="24"/>
        </w:rPr>
      </w:pPr>
      <w:r>
        <w:rPr>
          <w:rFonts w:cstheme="minorHAnsi"/>
          <w:b/>
          <w:bCs/>
          <w:sz w:val="24"/>
          <w:szCs w:val="24"/>
        </w:rPr>
        <w:t xml:space="preserve">Establishing and implementing </w:t>
      </w:r>
      <w:r w:rsidR="00EE2E82" w:rsidRPr="00ED2C18">
        <w:rPr>
          <w:rFonts w:cstheme="minorHAnsi"/>
          <w:b/>
          <w:bCs/>
          <w:sz w:val="24"/>
          <w:szCs w:val="24"/>
        </w:rPr>
        <w:t>an MRV system would be the most fundamental step for any country that wants to export CBAM</w:t>
      </w:r>
      <w:r w:rsidR="005D4D31">
        <w:rPr>
          <w:rFonts w:cstheme="minorHAnsi"/>
          <w:b/>
          <w:bCs/>
          <w:sz w:val="24"/>
          <w:szCs w:val="24"/>
        </w:rPr>
        <w:t>-covered</w:t>
      </w:r>
      <w:r w:rsidR="00EE2E82" w:rsidRPr="00ED2C18">
        <w:rPr>
          <w:rFonts w:cstheme="minorHAnsi"/>
          <w:b/>
          <w:bCs/>
          <w:sz w:val="24"/>
          <w:szCs w:val="24"/>
        </w:rPr>
        <w:t xml:space="preserve"> products to </w:t>
      </w:r>
      <w:r w:rsidR="005D4D31">
        <w:rPr>
          <w:rFonts w:cstheme="minorHAnsi"/>
          <w:b/>
          <w:bCs/>
          <w:sz w:val="24"/>
          <w:szCs w:val="24"/>
        </w:rPr>
        <w:t xml:space="preserve">the </w:t>
      </w:r>
      <w:r w:rsidR="00EE2E82" w:rsidRPr="00ED2C18">
        <w:rPr>
          <w:rFonts w:cstheme="minorHAnsi"/>
          <w:b/>
          <w:bCs/>
          <w:sz w:val="24"/>
          <w:szCs w:val="24"/>
        </w:rPr>
        <w:t xml:space="preserve">EU. </w:t>
      </w:r>
      <w:r w:rsidR="00A83F34">
        <w:rPr>
          <w:rFonts w:cstheme="minorHAnsi"/>
          <w:b/>
          <w:bCs/>
          <w:sz w:val="24"/>
          <w:szCs w:val="24"/>
        </w:rPr>
        <w:t>Developing countries exporting CBAM products will have to per force design, establish and implement MRV systems, or face high default emission values attributed to their exports. These will make their exports uncompetitive irrespective of their actual emissions.</w:t>
      </w:r>
      <w:r w:rsidR="00D82B7A">
        <w:rPr>
          <w:rFonts w:cstheme="minorHAnsi"/>
          <w:b/>
          <w:bCs/>
          <w:sz w:val="24"/>
          <w:szCs w:val="24"/>
        </w:rPr>
        <w:t xml:space="preserve"> </w:t>
      </w:r>
      <w:r w:rsidR="00EE2E82" w:rsidRPr="00ED2C18">
        <w:rPr>
          <w:rFonts w:cstheme="minorHAnsi"/>
          <w:b/>
          <w:bCs/>
          <w:sz w:val="24"/>
          <w:szCs w:val="24"/>
        </w:rPr>
        <w:t xml:space="preserve">Without </w:t>
      </w:r>
      <w:r w:rsidR="00D82B7A">
        <w:rPr>
          <w:rFonts w:cstheme="minorHAnsi"/>
          <w:b/>
          <w:bCs/>
          <w:sz w:val="24"/>
          <w:szCs w:val="24"/>
        </w:rPr>
        <w:t>an MRV</w:t>
      </w:r>
      <w:r w:rsidR="00EE2E82" w:rsidRPr="00ED2C18">
        <w:rPr>
          <w:rFonts w:cstheme="minorHAnsi"/>
          <w:b/>
          <w:bCs/>
          <w:sz w:val="24"/>
          <w:szCs w:val="24"/>
        </w:rPr>
        <w:t xml:space="preserve"> system</w:t>
      </w:r>
      <w:r w:rsidR="00D82B7A">
        <w:rPr>
          <w:rFonts w:cstheme="minorHAnsi"/>
          <w:b/>
          <w:bCs/>
          <w:sz w:val="24"/>
          <w:szCs w:val="24"/>
        </w:rPr>
        <w:t xml:space="preserve"> in place</w:t>
      </w:r>
      <w:r w:rsidR="00EE2E82" w:rsidRPr="00ED2C18">
        <w:rPr>
          <w:rFonts w:cstheme="minorHAnsi"/>
          <w:b/>
          <w:bCs/>
          <w:sz w:val="24"/>
          <w:szCs w:val="24"/>
        </w:rPr>
        <w:t>, individual installations will have to establish their own monitoring and reporting mechanisms, which would imply very high costs apart from uncertaint</w:t>
      </w:r>
      <w:r w:rsidR="005D4D31">
        <w:rPr>
          <w:rFonts w:cstheme="minorHAnsi"/>
          <w:b/>
          <w:bCs/>
          <w:sz w:val="24"/>
          <w:szCs w:val="24"/>
        </w:rPr>
        <w:t>y surrounding</w:t>
      </w:r>
      <w:r w:rsidR="00EE2E82" w:rsidRPr="00ED2C18">
        <w:rPr>
          <w:rFonts w:cstheme="minorHAnsi"/>
          <w:b/>
          <w:bCs/>
          <w:sz w:val="24"/>
          <w:szCs w:val="24"/>
        </w:rPr>
        <w:t xml:space="preserve"> the decisions that EU verifiers may take on the emissions measurement reports.  </w:t>
      </w:r>
    </w:p>
    <w:p w14:paraId="37346615" w14:textId="77777777" w:rsidR="00A1716E" w:rsidRDefault="00A1716E" w:rsidP="00A1716E">
      <w:pPr>
        <w:spacing w:after="0" w:line="276" w:lineRule="auto"/>
        <w:jc w:val="both"/>
      </w:pPr>
    </w:p>
    <w:p w14:paraId="73298032" w14:textId="182F7B98" w:rsidR="00EE2E82" w:rsidRPr="0089635F" w:rsidRDefault="00CC0024" w:rsidP="00A1716E">
      <w:pPr>
        <w:spacing w:after="0" w:line="276" w:lineRule="auto"/>
        <w:jc w:val="both"/>
        <w:rPr>
          <w:rFonts w:cstheme="minorHAnsi"/>
          <w:sz w:val="24"/>
          <w:szCs w:val="24"/>
        </w:rPr>
      </w:pPr>
      <w:r>
        <w:rPr>
          <w:rFonts w:cstheme="minorHAnsi"/>
          <w:sz w:val="24"/>
          <w:szCs w:val="24"/>
        </w:rPr>
        <w:t xml:space="preserve">The </w:t>
      </w:r>
      <w:r w:rsidR="00EE2E82" w:rsidRPr="00CC0024">
        <w:rPr>
          <w:rFonts w:cstheme="minorHAnsi"/>
          <w:sz w:val="24"/>
          <w:szCs w:val="24"/>
        </w:rPr>
        <w:t>EU’s D</w:t>
      </w:r>
      <w:r>
        <w:rPr>
          <w:rFonts w:cstheme="minorHAnsi"/>
          <w:sz w:val="24"/>
          <w:szCs w:val="24"/>
        </w:rPr>
        <w:t>irectorate-General for</w:t>
      </w:r>
      <w:r w:rsidR="00EE2E82" w:rsidRPr="00CC0024">
        <w:rPr>
          <w:rFonts w:cstheme="minorHAnsi"/>
          <w:sz w:val="24"/>
          <w:szCs w:val="24"/>
        </w:rPr>
        <w:t xml:space="preserve"> Climate </w:t>
      </w:r>
      <w:r>
        <w:rPr>
          <w:rFonts w:cstheme="minorHAnsi"/>
          <w:sz w:val="24"/>
          <w:szCs w:val="24"/>
        </w:rPr>
        <w:t xml:space="preserve">Action </w:t>
      </w:r>
      <w:r w:rsidR="005D4D31">
        <w:rPr>
          <w:rFonts w:cstheme="minorHAnsi"/>
          <w:sz w:val="24"/>
          <w:szCs w:val="24"/>
        </w:rPr>
        <w:t xml:space="preserve">has </w:t>
      </w:r>
      <w:r w:rsidR="00EE2E82" w:rsidRPr="00CC0024">
        <w:rPr>
          <w:rFonts w:cstheme="minorHAnsi"/>
          <w:sz w:val="24"/>
          <w:szCs w:val="24"/>
        </w:rPr>
        <w:t>published</w:t>
      </w:r>
      <w:r w:rsidR="00EE2E82" w:rsidRPr="0089635F">
        <w:rPr>
          <w:rFonts w:cstheme="minorHAnsi"/>
          <w:sz w:val="24"/>
          <w:szCs w:val="24"/>
        </w:rPr>
        <w:t xml:space="preserve"> a </w:t>
      </w:r>
      <w:hyperlink r:id="rId16" w:history="1">
        <w:r w:rsidR="00EE2E82" w:rsidRPr="00CC0024">
          <w:rPr>
            <w:rStyle w:val="Hyperlink"/>
            <w:rFonts w:cstheme="minorHAnsi"/>
            <w:sz w:val="24"/>
            <w:szCs w:val="24"/>
          </w:rPr>
          <w:t>study</w:t>
        </w:r>
      </w:hyperlink>
      <w:r w:rsidR="00EE2E82" w:rsidRPr="0089635F">
        <w:rPr>
          <w:rFonts w:cstheme="minorHAnsi"/>
          <w:sz w:val="24"/>
          <w:szCs w:val="24"/>
        </w:rPr>
        <w:t xml:space="preserve"> </w:t>
      </w:r>
      <w:r w:rsidR="005D4D31">
        <w:rPr>
          <w:rFonts w:cstheme="minorHAnsi"/>
          <w:sz w:val="24"/>
          <w:szCs w:val="24"/>
        </w:rPr>
        <w:t>on</w:t>
      </w:r>
      <w:r w:rsidR="00EE2E82" w:rsidRPr="0089635F">
        <w:rPr>
          <w:rFonts w:cstheme="minorHAnsi"/>
          <w:sz w:val="24"/>
          <w:szCs w:val="24"/>
        </w:rPr>
        <w:t xml:space="preserve"> costs of compliance </w:t>
      </w:r>
      <w:r w:rsidR="005D4D31">
        <w:rPr>
          <w:rFonts w:cstheme="minorHAnsi"/>
          <w:sz w:val="24"/>
          <w:szCs w:val="24"/>
        </w:rPr>
        <w:t>with</w:t>
      </w:r>
      <w:r w:rsidR="00EE2E82" w:rsidRPr="0089635F">
        <w:rPr>
          <w:rFonts w:cstheme="minorHAnsi"/>
          <w:sz w:val="24"/>
          <w:szCs w:val="24"/>
        </w:rPr>
        <w:t xml:space="preserve"> the ETS</w:t>
      </w:r>
      <w:r w:rsidR="00EC1D5F">
        <w:rPr>
          <w:rFonts w:cstheme="minorHAnsi"/>
          <w:sz w:val="24"/>
          <w:szCs w:val="24"/>
        </w:rPr>
        <w:t xml:space="preserve"> </w:t>
      </w:r>
      <w:r w:rsidR="00EC1D5F" w:rsidRPr="0089635F">
        <w:rPr>
          <w:rFonts w:cstheme="minorHAnsi"/>
          <w:sz w:val="24"/>
          <w:szCs w:val="24"/>
        </w:rPr>
        <w:t>in the 18-month cycle ending in 2014</w:t>
      </w:r>
      <w:r w:rsidR="00EC1D5F">
        <w:rPr>
          <w:rFonts w:cstheme="minorHAnsi"/>
          <w:sz w:val="24"/>
          <w:szCs w:val="24"/>
        </w:rPr>
        <w:t>.</w:t>
      </w:r>
      <w:r w:rsidR="00EE2E82" w:rsidRPr="0089635F">
        <w:rPr>
          <w:rFonts w:cstheme="minorHAnsi"/>
          <w:sz w:val="24"/>
          <w:szCs w:val="24"/>
        </w:rPr>
        <w:t xml:space="preserve"> </w:t>
      </w:r>
      <w:r w:rsidR="005D4D31">
        <w:rPr>
          <w:rFonts w:cstheme="minorHAnsi"/>
          <w:sz w:val="24"/>
          <w:szCs w:val="24"/>
        </w:rPr>
        <w:t>According to</w:t>
      </w:r>
      <w:r w:rsidR="00EE2E82" w:rsidRPr="0089635F">
        <w:rPr>
          <w:rFonts w:cstheme="minorHAnsi"/>
          <w:sz w:val="24"/>
          <w:szCs w:val="24"/>
        </w:rPr>
        <w:t xml:space="preserve"> this study, the average cost per </w:t>
      </w:r>
      <w:r w:rsidR="005D4D31" w:rsidRPr="0089635F">
        <w:rPr>
          <w:rFonts w:cstheme="minorHAnsi"/>
          <w:sz w:val="24"/>
          <w:szCs w:val="24"/>
        </w:rPr>
        <w:t xml:space="preserve">member state </w:t>
      </w:r>
      <w:r w:rsidR="00EE2E82" w:rsidRPr="0089635F">
        <w:rPr>
          <w:rFonts w:cstheme="minorHAnsi"/>
          <w:sz w:val="24"/>
          <w:szCs w:val="24"/>
        </w:rPr>
        <w:t xml:space="preserve">for the 2014 compliance cycle (as an indicative compliance cycle under phase III of the ETS) </w:t>
      </w:r>
      <w:r w:rsidR="005D4D31">
        <w:rPr>
          <w:rFonts w:cstheme="minorHAnsi"/>
          <w:sz w:val="24"/>
          <w:szCs w:val="24"/>
        </w:rPr>
        <w:t>was</w:t>
      </w:r>
      <w:r w:rsidR="00EE2E82" w:rsidRPr="0089635F">
        <w:rPr>
          <w:rFonts w:cstheme="minorHAnsi"/>
          <w:sz w:val="24"/>
          <w:szCs w:val="24"/>
        </w:rPr>
        <w:t xml:space="preserve"> €51,800 and the average cost per </w:t>
      </w:r>
      <w:r w:rsidR="005D4D31" w:rsidRPr="0089635F">
        <w:rPr>
          <w:rFonts w:cstheme="minorHAnsi"/>
          <w:sz w:val="24"/>
          <w:szCs w:val="24"/>
        </w:rPr>
        <w:t xml:space="preserve">member state </w:t>
      </w:r>
      <w:r w:rsidR="00EE2E82" w:rsidRPr="0089635F">
        <w:rPr>
          <w:rFonts w:cstheme="minorHAnsi"/>
          <w:sz w:val="24"/>
          <w:szCs w:val="24"/>
        </w:rPr>
        <w:t>per installation was €2,250. The average cost per installation for the 2014 compliance cycle was €59,200.</w:t>
      </w:r>
      <w:r w:rsidR="002E0878">
        <w:rPr>
          <w:rFonts w:cstheme="minorHAnsi"/>
          <w:sz w:val="24"/>
          <w:szCs w:val="24"/>
        </w:rPr>
        <w:t xml:space="preserve"> These are 2014 </w:t>
      </w:r>
      <w:r w:rsidR="005D4D31">
        <w:rPr>
          <w:rFonts w:cstheme="minorHAnsi"/>
          <w:sz w:val="24"/>
          <w:szCs w:val="24"/>
        </w:rPr>
        <w:t>figures</w:t>
      </w:r>
      <w:r w:rsidR="002E0878">
        <w:rPr>
          <w:rFonts w:cstheme="minorHAnsi"/>
          <w:sz w:val="24"/>
          <w:szCs w:val="24"/>
        </w:rPr>
        <w:t xml:space="preserve"> and still pose a substantial cost if converted to local currencies</w:t>
      </w:r>
      <w:r w:rsidR="00AF6283">
        <w:rPr>
          <w:rFonts w:cstheme="minorHAnsi"/>
          <w:sz w:val="24"/>
          <w:szCs w:val="24"/>
        </w:rPr>
        <w:t>, particularly in developing</w:t>
      </w:r>
      <w:r w:rsidR="005F78F0">
        <w:rPr>
          <w:rFonts w:cstheme="minorHAnsi"/>
          <w:sz w:val="24"/>
          <w:szCs w:val="24"/>
        </w:rPr>
        <w:t>-</w:t>
      </w:r>
      <w:r w:rsidR="00AF6283">
        <w:rPr>
          <w:rFonts w:cstheme="minorHAnsi"/>
          <w:sz w:val="24"/>
          <w:szCs w:val="24"/>
        </w:rPr>
        <w:t>country contexts</w:t>
      </w:r>
      <w:r w:rsidR="002E0878">
        <w:rPr>
          <w:rFonts w:cstheme="minorHAnsi"/>
          <w:sz w:val="24"/>
          <w:szCs w:val="24"/>
        </w:rPr>
        <w:t>.</w:t>
      </w:r>
    </w:p>
    <w:p w14:paraId="7181AB15" w14:textId="77777777" w:rsidR="00A1716E" w:rsidRDefault="00A1716E" w:rsidP="00A1716E">
      <w:pPr>
        <w:spacing w:after="0" w:line="276" w:lineRule="auto"/>
        <w:jc w:val="both"/>
        <w:rPr>
          <w:rFonts w:cstheme="minorHAnsi"/>
          <w:sz w:val="24"/>
          <w:szCs w:val="24"/>
        </w:rPr>
      </w:pPr>
    </w:p>
    <w:p w14:paraId="39D1DAAA" w14:textId="7674FF7A" w:rsidR="002E0878" w:rsidRPr="00126EB9" w:rsidRDefault="00EE2E82" w:rsidP="00A1716E">
      <w:pPr>
        <w:spacing w:after="0" w:line="276" w:lineRule="auto"/>
        <w:jc w:val="both"/>
        <w:rPr>
          <w:rFonts w:cstheme="minorHAnsi"/>
          <w:sz w:val="24"/>
          <w:szCs w:val="24"/>
        </w:rPr>
      </w:pPr>
      <w:r w:rsidRPr="0089635F">
        <w:rPr>
          <w:rFonts w:cstheme="minorHAnsi"/>
          <w:sz w:val="24"/>
          <w:szCs w:val="24"/>
        </w:rPr>
        <w:t xml:space="preserve">The survey also observed that ETS MRV costs </w:t>
      </w:r>
      <w:r w:rsidR="005D4D31">
        <w:rPr>
          <w:rFonts w:cstheme="minorHAnsi"/>
          <w:sz w:val="24"/>
          <w:szCs w:val="24"/>
        </w:rPr>
        <w:t>were</w:t>
      </w:r>
      <w:r w:rsidRPr="0089635F">
        <w:rPr>
          <w:rFonts w:cstheme="minorHAnsi"/>
          <w:sz w:val="24"/>
          <w:szCs w:val="24"/>
        </w:rPr>
        <w:t xml:space="preserve"> proportionately higher for smaller emitters. Quality control costs </w:t>
      </w:r>
      <w:r w:rsidR="005D4D31">
        <w:rPr>
          <w:rFonts w:cstheme="minorHAnsi"/>
          <w:sz w:val="24"/>
          <w:szCs w:val="24"/>
        </w:rPr>
        <w:t>took up</w:t>
      </w:r>
      <w:r w:rsidRPr="0089635F">
        <w:rPr>
          <w:rFonts w:cstheme="minorHAnsi"/>
          <w:sz w:val="24"/>
          <w:szCs w:val="24"/>
        </w:rPr>
        <w:t xml:space="preserve"> the highest </w:t>
      </w:r>
      <w:r w:rsidR="005D4D31">
        <w:rPr>
          <w:rFonts w:cstheme="minorHAnsi"/>
          <w:sz w:val="24"/>
          <w:szCs w:val="24"/>
        </w:rPr>
        <w:t>share</w:t>
      </w:r>
      <w:r w:rsidRPr="0089635F">
        <w:rPr>
          <w:rFonts w:cstheme="minorHAnsi"/>
          <w:sz w:val="24"/>
          <w:szCs w:val="24"/>
        </w:rPr>
        <w:t xml:space="preserve"> of the monitoring costs incurred by the emitters. </w:t>
      </w:r>
      <w:r w:rsidR="002E0878" w:rsidRPr="00126EB9">
        <w:rPr>
          <w:rFonts w:cstheme="minorHAnsi"/>
          <w:sz w:val="24"/>
          <w:szCs w:val="24"/>
        </w:rPr>
        <w:t xml:space="preserve">Small operators and simple emitters found the MRV process cumbersome and </w:t>
      </w:r>
      <w:r w:rsidR="002E0878" w:rsidRPr="00126EB9">
        <w:rPr>
          <w:rFonts w:cstheme="minorHAnsi"/>
          <w:sz w:val="24"/>
          <w:szCs w:val="24"/>
        </w:rPr>
        <w:lastRenderedPageBreak/>
        <w:t>challenging to follow.  Reporting requirements were perceived as high and complex by these installations.</w:t>
      </w:r>
    </w:p>
    <w:p w14:paraId="40FE9A83" w14:textId="77777777" w:rsidR="00A1716E" w:rsidRDefault="00A1716E" w:rsidP="00A1716E">
      <w:pPr>
        <w:spacing w:after="0" w:line="276" w:lineRule="auto"/>
        <w:jc w:val="both"/>
        <w:rPr>
          <w:rFonts w:cstheme="minorHAnsi"/>
          <w:sz w:val="24"/>
          <w:szCs w:val="24"/>
        </w:rPr>
      </w:pPr>
    </w:p>
    <w:p w14:paraId="74035C39" w14:textId="3672533E" w:rsidR="00EE2E82" w:rsidRPr="0089635F" w:rsidRDefault="00EE2E82" w:rsidP="00A1716E">
      <w:pPr>
        <w:spacing w:after="0" w:line="276" w:lineRule="auto"/>
        <w:jc w:val="both"/>
        <w:rPr>
          <w:rFonts w:cstheme="minorHAnsi"/>
          <w:sz w:val="24"/>
          <w:szCs w:val="24"/>
        </w:rPr>
      </w:pPr>
      <w:r w:rsidRPr="0089635F">
        <w:rPr>
          <w:rFonts w:cstheme="minorHAnsi"/>
          <w:sz w:val="24"/>
          <w:szCs w:val="24"/>
        </w:rPr>
        <w:t>Most EU member states provided trainings, consultations</w:t>
      </w:r>
      <w:r w:rsidR="005D4D31">
        <w:rPr>
          <w:rFonts w:cstheme="minorHAnsi"/>
          <w:sz w:val="24"/>
          <w:szCs w:val="24"/>
        </w:rPr>
        <w:t xml:space="preserve"> and</w:t>
      </w:r>
      <w:r w:rsidRPr="0089635F">
        <w:rPr>
          <w:rFonts w:cstheme="minorHAnsi"/>
          <w:sz w:val="24"/>
          <w:szCs w:val="24"/>
        </w:rPr>
        <w:t xml:space="preserve"> templates to operators to support proper adoption of the ETS MRV. An electronic reporting system that was present in certain member states reduced the costs of compliance significantly.</w:t>
      </w:r>
    </w:p>
    <w:p w14:paraId="2B2724C4" w14:textId="77777777" w:rsidR="00A1716E" w:rsidRDefault="00A1716E" w:rsidP="00A1716E">
      <w:pPr>
        <w:spacing w:after="0" w:line="276" w:lineRule="auto"/>
        <w:jc w:val="both"/>
        <w:rPr>
          <w:rFonts w:cstheme="minorHAnsi"/>
          <w:sz w:val="24"/>
          <w:szCs w:val="24"/>
        </w:rPr>
      </w:pPr>
    </w:p>
    <w:p w14:paraId="3FF5FF74" w14:textId="5AF043A5" w:rsidR="00EE2E82" w:rsidRPr="0089635F" w:rsidRDefault="00EE2E82" w:rsidP="00A1716E">
      <w:pPr>
        <w:spacing w:after="0" w:line="276" w:lineRule="auto"/>
        <w:jc w:val="both"/>
        <w:rPr>
          <w:rFonts w:cstheme="minorHAnsi"/>
          <w:sz w:val="24"/>
          <w:szCs w:val="24"/>
        </w:rPr>
      </w:pPr>
      <w:r w:rsidRPr="0089635F">
        <w:rPr>
          <w:rFonts w:cstheme="minorHAnsi"/>
          <w:sz w:val="24"/>
          <w:szCs w:val="24"/>
        </w:rPr>
        <w:t>The measures that countries had to take to ensure compliance included spot checks and inspection of implementation and compliance by installation, industry meetings, verifier consultations and prohibiting sale of emissions allowances if irregularities were noticed.</w:t>
      </w:r>
    </w:p>
    <w:p w14:paraId="2082BFFE" w14:textId="77777777" w:rsidR="006B04D1" w:rsidRDefault="006B04D1" w:rsidP="00A1716E">
      <w:pPr>
        <w:spacing w:after="0" w:line="276" w:lineRule="auto"/>
        <w:jc w:val="both"/>
        <w:rPr>
          <w:rFonts w:cstheme="minorHAnsi"/>
          <w:sz w:val="24"/>
          <w:szCs w:val="24"/>
        </w:rPr>
      </w:pPr>
    </w:p>
    <w:p w14:paraId="0572763A" w14:textId="77CF26F6" w:rsidR="00EE2E82" w:rsidRPr="0089635F" w:rsidRDefault="00EE2E82" w:rsidP="00A1716E">
      <w:pPr>
        <w:spacing w:after="0" w:line="276" w:lineRule="auto"/>
        <w:jc w:val="both"/>
        <w:rPr>
          <w:rFonts w:cstheme="minorHAnsi"/>
          <w:sz w:val="24"/>
          <w:szCs w:val="24"/>
        </w:rPr>
      </w:pPr>
      <w:r w:rsidRPr="0089635F">
        <w:rPr>
          <w:rFonts w:cstheme="minorHAnsi"/>
          <w:sz w:val="24"/>
          <w:szCs w:val="24"/>
        </w:rPr>
        <w:t xml:space="preserve">A study of </w:t>
      </w:r>
      <w:hyperlink r:id="rId17" w:history="1">
        <w:r w:rsidRPr="00EC1D5F">
          <w:rPr>
            <w:rStyle w:val="Hyperlink"/>
            <w:rFonts w:cstheme="minorHAnsi"/>
            <w:sz w:val="24"/>
            <w:szCs w:val="24"/>
          </w:rPr>
          <w:t xml:space="preserve">transaction costs </w:t>
        </w:r>
        <w:r w:rsidR="005D4D31">
          <w:rPr>
            <w:rStyle w:val="Hyperlink"/>
            <w:rFonts w:cstheme="minorHAnsi"/>
            <w:sz w:val="24"/>
            <w:szCs w:val="24"/>
          </w:rPr>
          <w:t>for the</w:t>
        </w:r>
        <w:r w:rsidRPr="00EC1D5F">
          <w:rPr>
            <w:rStyle w:val="Hyperlink"/>
            <w:rFonts w:cstheme="minorHAnsi"/>
            <w:sz w:val="24"/>
            <w:szCs w:val="24"/>
          </w:rPr>
          <w:t xml:space="preserve"> ETS in Ireland</w:t>
        </w:r>
      </w:hyperlink>
      <w:r w:rsidRPr="0089635F">
        <w:rPr>
          <w:rFonts w:cstheme="minorHAnsi"/>
          <w:sz w:val="24"/>
          <w:szCs w:val="24"/>
        </w:rPr>
        <w:t xml:space="preserve"> confirm</w:t>
      </w:r>
      <w:r w:rsidR="005D4D31">
        <w:rPr>
          <w:rFonts w:cstheme="minorHAnsi"/>
          <w:sz w:val="24"/>
          <w:szCs w:val="24"/>
        </w:rPr>
        <w:t>ed</w:t>
      </w:r>
      <w:r w:rsidRPr="0089635F">
        <w:rPr>
          <w:rFonts w:cstheme="minorHAnsi"/>
          <w:sz w:val="24"/>
          <w:szCs w:val="24"/>
        </w:rPr>
        <w:t xml:space="preserve"> the above findings particularly for smaller emitters. </w:t>
      </w:r>
      <w:r w:rsidR="005D4D31">
        <w:rPr>
          <w:rFonts w:cstheme="minorHAnsi"/>
          <w:sz w:val="24"/>
          <w:szCs w:val="24"/>
        </w:rPr>
        <w:t>While l</w:t>
      </w:r>
      <w:r w:rsidRPr="0089635F">
        <w:rPr>
          <w:rFonts w:cstheme="minorHAnsi"/>
          <w:sz w:val="24"/>
          <w:szCs w:val="24"/>
        </w:rPr>
        <w:t xml:space="preserve">arger installations incurred high initial costs, ongoing costs for small and medium installations were burdensome.  </w:t>
      </w:r>
    </w:p>
    <w:p w14:paraId="17D4FBC8" w14:textId="77777777" w:rsidR="006B04D1" w:rsidRDefault="006B04D1" w:rsidP="00A1716E">
      <w:pPr>
        <w:spacing w:after="0" w:line="276" w:lineRule="auto"/>
        <w:jc w:val="both"/>
        <w:rPr>
          <w:rFonts w:cstheme="minorHAnsi"/>
          <w:sz w:val="24"/>
          <w:szCs w:val="24"/>
        </w:rPr>
      </w:pPr>
    </w:p>
    <w:p w14:paraId="132E3729" w14:textId="036C368C" w:rsidR="00EE2E82" w:rsidRPr="0089635F" w:rsidRDefault="00EE2E82" w:rsidP="00A1716E">
      <w:pPr>
        <w:spacing w:after="0" w:line="276" w:lineRule="auto"/>
        <w:jc w:val="both"/>
        <w:rPr>
          <w:rFonts w:cstheme="minorHAnsi"/>
          <w:sz w:val="24"/>
          <w:szCs w:val="24"/>
        </w:rPr>
      </w:pPr>
      <w:r w:rsidRPr="0089635F">
        <w:rPr>
          <w:rFonts w:cstheme="minorHAnsi"/>
          <w:sz w:val="24"/>
          <w:szCs w:val="24"/>
        </w:rPr>
        <w:t xml:space="preserve">A relatively recent study commissioned by the </w:t>
      </w:r>
      <w:hyperlink r:id="rId18" w:history="1">
        <w:r w:rsidRPr="00EC1D5F">
          <w:rPr>
            <w:rStyle w:val="Hyperlink"/>
            <w:rFonts w:cstheme="minorHAnsi"/>
            <w:sz w:val="24"/>
            <w:szCs w:val="24"/>
          </w:rPr>
          <w:t>Dutch emissions authority</w:t>
        </w:r>
      </w:hyperlink>
      <w:r w:rsidRPr="0089635F">
        <w:rPr>
          <w:rFonts w:cstheme="minorHAnsi"/>
          <w:sz w:val="24"/>
          <w:szCs w:val="24"/>
        </w:rPr>
        <w:t xml:space="preserve"> reveals that costs incurred by firms</w:t>
      </w:r>
      <w:r w:rsidR="00EC1D5F">
        <w:rPr>
          <w:rFonts w:cstheme="minorHAnsi"/>
          <w:sz w:val="24"/>
          <w:szCs w:val="24"/>
        </w:rPr>
        <w:t xml:space="preserve"> for the current phase IV</w:t>
      </w:r>
      <w:r w:rsidR="005D4D31">
        <w:rPr>
          <w:rFonts w:cstheme="minorHAnsi"/>
          <w:sz w:val="24"/>
          <w:szCs w:val="24"/>
        </w:rPr>
        <w:t xml:space="preserve"> of the ETS</w:t>
      </w:r>
      <w:r w:rsidRPr="0089635F">
        <w:rPr>
          <w:rFonts w:cstheme="minorHAnsi"/>
          <w:sz w:val="24"/>
          <w:szCs w:val="24"/>
        </w:rPr>
        <w:t xml:space="preserve"> will go up as the ETS threshold caps are lowered and MRV requirements become more stringent. Additional data collection and production level changes will increase the costs of administering </w:t>
      </w:r>
      <w:r w:rsidR="005D4D31">
        <w:rPr>
          <w:rFonts w:cstheme="minorHAnsi"/>
          <w:sz w:val="24"/>
          <w:szCs w:val="24"/>
        </w:rPr>
        <w:t>the</w:t>
      </w:r>
      <w:r w:rsidRPr="0089635F">
        <w:rPr>
          <w:rFonts w:cstheme="minorHAnsi"/>
          <w:sz w:val="24"/>
          <w:szCs w:val="24"/>
        </w:rPr>
        <w:t xml:space="preserve"> ETS. </w:t>
      </w:r>
      <w:r w:rsidR="00E57C4E">
        <w:rPr>
          <w:rFonts w:cstheme="minorHAnsi"/>
          <w:sz w:val="24"/>
          <w:szCs w:val="24"/>
        </w:rPr>
        <w:t>Similar costs will have to be borne by exporting</w:t>
      </w:r>
      <w:r w:rsidR="005D4D31">
        <w:rPr>
          <w:rFonts w:cstheme="minorHAnsi"/>
          <w:sz w:val="24"/>
          <w:szCs w:val="24"/>
        </w:rPr>
        <w:t>-</w:t>
      </w:r>
      <w:r w:rsidR="00E57C4E">
        <w:rPr>
          <w:rFonts w:cstheme="minorHAnsi"/>
          <w:sz w:val="24"/>
          <w:szCs w:val="24"/>
        </w:rPr>
        <w:t xml:space="preserve">country installations after </w:t>
      </w:r>
      <w:r w:rsidR="005D4D31">
        <w:rPr>
          <w:rFonts w:cstheme="minorHAnsi"/>
          <w:sz w:val="24"/>
          <w:szCs w:val="24"/>
        </w:rPr>
        <w:t xml:space="preserve">the </w:t>
      </w:r>
      <w:r w:rsidR="00E57C4E">
        <w:rPr>
          <w:rFonts w:cstheme="minorHAnsi"/>
          <w:sz w:val="24"/>
          <w:szCs w:val="24"/>
        </w:rPr>
        <w:t>CBAM</w:t>
      </w:r>
      <w:r w:rsidR="005D4D31">
        <w:rPr>
          <w:rFonts w:cstheme="minorHAnsi"/>
          <w:sz w:val="24"/>
          <w:szCs w:val="24"/>
        </w:rPr>
        <w:t xml:space="preserve"> is in place</w:t>
      </w:r>
      <w:r w:rsidR="00E57C4E">
        <w:rPr>
          <w:rFonts w:cstheme="minorHAnsi"/>
          <w:sz w:val="24"/>
          <w:szCs w:val="24"/>
        </w:rPr>
        <w:t xml:space="preserve">. </w:t>
      </w:r>
    </w:p>
    <w:p w14:paraId="09ECDEA5" w14:textId="77777777" w:rsidR="006B04D1" w:rsidRDefault="006B04D1" w:rsidP="00A1716E">
      <w:pPr>
        <w:spacing w:after="0" w:line="276" w:lineRule="auto"/>
        <w:jc w:val="both"/>
        <w:rPr>
          <w:rFonts w:cstheme="minorHAnsi"/>
          <w:sz w:val="24"/>
          <w:szCs w:val="24"/>
        </w:rPr>
      </w:pPr>
    </w:p>
    <w:p w14:paraId="761722D7" w14:textId="795258F0" w:rsidR="00104172" w:rsidRDefault="00EE2E82" w:rsidP="00A1716E">
      <w:pPr>
        <w:spacing w:after="0" w:line="276" w:lineRule="auto"/>
        <w:jc w:val="both"/>
        <w:rPr>
          <w:rFonts w:cstheme="minorHAnsi"/>
          <w:sz w:val="24"/>
          <w:szCs w:val="24"/>
        </w:rPr>
      </w:pPr>
      <w:r w:rsidRPr="0089635F">
        <w:rPr>
          <w:rFonts w:cstheme="minorHAnsi"/>
          <w:sz w:val="24"/>
          <w:szCs w:val="24"/>
        </w:rPr>
        <w:t>Further</w:t>
      </w:r>
      <w:r w:rsidR="00126EB9">
        <w:rPr>
          <w:rFonts w:cstheme="minorHAnsi"/>
          <w:sz w:val="24"/>
          <w:szCs w:val="24"/>
        </w:rPr>
        <w:t>,</w:t>
      </w:r>
      <w:r w:rsidRPr="0089635F">
        <w:rPr>
          <w:rFonts w:cstheme="minorHAnsi"/>
          <w:sz w:val="24"/>
          <w:szCs w:val="24"/>
        </w:rPr>
        <w:t xml:space="preserve"> if the same installation manufactured different products, the data collection</w:t>
      </w:r>
      <w:r w:rsidR="00126EB9">
        <w:rPr>
          <w:rFonts w:cstheme="minorHAnsi"/>
          <w:sz w:val="24"/>
          <w:szCs w:val="24"/>
        </w:rPr>
        <w:t xml:space="preserve"> and MRV</w:t>
      </w:r>
      <w:r w:rsidRPr="0089635F">
        <w:rPr>
          <w:rFonts w:cstheme="minorHAnsi"/>
          <w:sz w:val="24"/>
          <w:szCs w:val="24"/>
        </w:rPr>
        <w:t xml:space="preserve"> exercises would become proportionately more complex and impose additional costs on the administrators. </w:t>
      </w:r>
      <w:bookmarkStart w:id="3" w:name="_Toc137497446"/>
    </w:p>
    <w:p w14:paraId="4BEE9EB5" w14:textId="77777777" w:rsidR="00104172" w:rsidRDefault="00104172" w:rsidP="00A1716E">
      <w:pPr>
        <w:spacing w:after="0" w:line="276" w:lineRule="auto"/>
        <w:jc w:val="both"/>
        <w:rPr>
          <w:rFonts w:cstheme="minorHAnsi"/>
          <w:sz w:val="24"/>
          <w:szCs w:val="24"/>
        </w:rPr>
      </w:pPr>
    </w:p>
    <w:p w14:paraId="4179C61D" w14:textId="09D3DD5B" w:rsidR="006C6B60" w:rsidRPr="006E54BC" w:rsidRDefault="006C6B60" w:rsidP="00A1716E">
      <w:pPr>
        <w:spacing w:after="0" w:line="276" w:lineRule="auto"/>
        <w:jc w:val="both"/>
        <w:rPr>
          <w:rFonts w:cstheme="minorHAnsi"/>
          <w:b/>
          <w:bCs/>
          <w:sz w:val="28"/>
          <w:szCs w:val="28"/>
        </w:rPr>
      </w:pPr>
      <w:r w:rsidRPr="006E54BC">
        <w:rPr>
          <w:b/>
          <w:bCs/>
          <w:sz w:val="24"/>
          <w:szCs w:val="26"/>
        </w:rPr>
        <w:t xml:space="preserve">A </w:t>
      </w:r>
      <w:r w:rsidR="00104172" w:rsidRPr="006E54BC">
        <w:rPr>
          <w:b/>
          <w:bCs/>
          <w:sz w:val="24"/>
          <w:szCs w:val="26"/>
        </w:rPr>
        <w:t xml:space="preserve">subsidised, </w:t>
      </w:r>
      <w:r w:rsidRPr="006E54BC">
        <w:rPr>
          <w:b/>
          <w:bCs/>
          <w:sz w:val="24"/>
          <w:szCs w:val="26"/>
        </w:rPr>
        <w:t>emissions-evolved industry</w:t>
      </w:r>
      <w:bookmarkEnd w:id="3"/>
    </w:p>
    <w:p w14:paraId="5330FCA1" w14:textId="77777777" w:rsidR="006B04D1" w:rsidRDefault="006B04D1" w:rsidP="00A1716E">
      <w:pPr>
        <w:spacing w:after="0" w:line="276" w:lineRule="auto"/>
        <w:jc w:val="both"/>
        <w:rPr>
          <w:rFonts w:cstheme="minorHAnsi"/>
          <w:b/>
          <w:bCs/>
          <w:sz w:val="24"/>
          <w:szCs w:val="24"/>
        </w:rPr>
      </w:pPr>
    </w:p>
    <w:p w14:paraId="519FE4C3" w14:textId="49410E30" w:rsidR="008323CF" w:rsidRPr="00126EB9" w:rsidRDefault="008323CF" w:rsidP="00A1716E">
      <w:pPr>
        <w:spacing w:after="0" w:line="276" w:lineRule="auto"/>
        <w:jc w:val="both"/>
        <w:rPr>
          <w:rFonts w:cstheme="minorHAnsi"/>
          <w:sz w:val="24"/>
          <w:szCs w:val="24"/>
        </w:rPr>
      </w:pPr>
      <w:r w:rsidRPr="00126EB9">
        <w:rPr>
          <w:rFonts w:cstheme="minorHAnsi"/>
          <w:sz w:val="24"/>
          <w:szCs w:val="24"/>
        </w:rPr>
        <w:t xml:space="preserve">EU industry has incrementally developed capacities </w:t>
      </w:r>
      <w:r w:rsidR="00126EB9">
        <w:rPr>
          <w:rFonts w:cstheme="minorHAnsi"/>
          <w:sz w:val="24"/>
          <w:szCs w:val="24"/>
        </w:rPr>
        <w:t>for</w:t>
      </w:r>
      <w:r w:rsidRPr="00126EB9">
        <w:rPr>
          <w:rFonts w:cstheme="minorHAnsi"/>
          <w:sz w:val="24"/>
          <w:szCs w:val="24"/>
        </w:rPr>
        <w:t xml:space="preserve"> reporting emissions, understanding and integrating emissions caps into it</w:t>
      </w:r>
      <w:r w:rsidR="00BA1E51" w:rsidRPr="00126EB9">
        <w:rPr>
          <w:rFonts w:cstheme="minorHAnsi"/>
          <w:sz w:val="24"/>
          <w:szCs w:val="24"/>
        </w:rPr>
        <w:t>s</w:t>
      </w:r>
      <w:r w:rsidRPr="00126EB9">
        <w:rPr>
          <w:rFonts w:cstheme="minorHAnsi"/>
          <w:sz w:val="24"/>
          <w:szCs w:val="24"/>
        </w:rPr>
        <w:t xml:space="preserve"> business processes, adopting the best available technology (BAT) and trading allowances on the market. The extended adaptation period</w:t>
      </w:r>
      <w:r w:rsidR="00973272">
        <w:rPr>
          <w:rFonts w:cstheme="minorHAnsi"/>
          <w:sz w:val="24"/>
          <w:szCs w:val="24"/>
        </w:rPr>
        <w:t xml:space="preserve"> of almost two decades</w:t>
      </w:r>
      <w:r w:rsidRPr="00126EB9">
        <w:rPr>
          <w:rFonts w:cstheme="minorHAnsi"/>
          <w:sz w:val="24"/>
          <w:szCs w:val="24"/>
        </w:rPr>
        <w:t xml:space="preserve"> and large resources</w:t>
      </w:r>
      <w:r w:rsidR="00AA2226" w:rsidRPr="00126EB9">
        <w:rPr>
          <w:rFonts w:cstheme="minorHAnsi"/>
          <w:sz w:val="24"/>
          <w:szCs w:val="24"/>
        </w:rPr>
        <w:t xml:space="preserve"> by way of free allowances</w:t>
      </w:r>
      <w:r w:rsidRPr="00126EB9">
        <w:rPr>
          <w:rFonts w:cstheme="minorHAnsi"/>
          <w:sz w:val="24"/>
          <w:szCs w:val="24"/>
        </w:rPr>
        <w:t xml:space="preserve"> have created an emissions-evolved industry in the EU.</w:t>
      </w:r>
    </w:p>
    <w:p w14:paraId="739C1C64" w14:textId="77777777" w:rsidR="006B04D1" w:rsidRPr="00ED2C18" w:rsidRDefault="006B04D1" w:rsidP="00A1716E">
      <w:pPr>
        <w:spacing w:after="0" w:line="276" w:lineRule="auto"/>
        <w:jc w:val="both"/>
        <w:rPr>
          <w:rFonts w:cstheme="minorHAnsi"/>
          <w:b/>
          <w:bCs/>
          <w:sz w:val="24"/>
          <w:szCs w:val="24"/>
        </w:rPr>
      </w:pPr>
    </w:p>
    <w:p w14:paraId="1CFD6E36" w14:textId="01FF79C8" w:rsidR="006C6B60" w:rsidRDefault="00126EB9" w:rsidP="00A1716E">
      <w:pPr>
        <w:spacing w:after="0" w:line="276" w:lineRule="auto"/>
        <w:jc w:val="both"/>
        <w:rPr>
          <w:rFonts w:cstheme="minorHAnsi"/>
          <w:sz w:val="24"/>
          <w:szCs w:val="24"/>
        </w:rPr>
      </w:pPr>
      <w:r>
        <w:rPr>
          <w:rFonts w:cstheme="minorHAnsi"/>
          <w:sz w:val="24"/>
          <w:szCs w:val="24"/>
        </w:rPr>
        <w:t>In contrast</w:t>
      </w:r>
      <w:r w:rsidR="008323CF" w:rsidRPr="0089635F">
        <w:rPr>
          <w:rFonts w:cstheme="minorHAnsi"/>
          <w:sz w:val="24"/>
          <w:szCs w:val="24"/>
        </w:rPr>
        <w:t>,</w:t>
      </w:r>
      <w:r w:rsidR="008323CF">
        <w:rPr>
          <w:rFonts w:cstheme="minorHAnsi"/>
          <w:sz w:val="24"/>
          <w:szCs w:val="24"/>
        </w:rPr>
        <w:t xml:space="preserve"> </w:t>
      </w:r>
      <w:bookmarkStart w:id="4" w:name="_Hlk159150861"/>
      <w:r w:rsidR="008323CF" w:rsidRPr="0089635F">
        <w:rPr>
          <w:rFonts w:cstheme="minorHAnsi"/>
          <w:sz w:val="24"/>
          <w:szCs w:val="24"/>
        </w:rPr>
        <w:t>developing</w:t>
      </w:r>
      <w:r>
        <w:rPr>
          <w:rFonts w:cstheme="minorHAnsi"/>
          <w:sz w:val="24"/>
          <w:szCs w:val="24"/>
        </w:rPr>
        <w:t>-</w:t>
      </w:r>
      <w:r w:rsidR="008323CF" w:rsidRPr="0089635F">
        <w:rPr>
          <w:rFonts w:cstheme="minorHAnsi"/>
          <w:sz w:val="24"/>
          <w:szCs w:val="24"/>
        </w:rPr>
        <w:t xml:space="preserve">country exports to </w:t>
      </w:r>
      <w:r>
        <w:rPr>
          <w:rFonts w:cstheme="minorHAnsi"/>
          <w:sz w:val="24"/>
          <w:szCs w:val="24"/>
        </w:rPr>
        <w:t xml:space="preserve">the </w:t>
      </w:r>
      <w:r w:rsidR="008323CF" w:rsidRPr="0089635F">
        <w:rPr>
          <w:rFonts w:cstheme="minorHAnsi"/>
          <w:sz w:val="24"/>
          <w:szCs w:val="24"/>
        </w:rPr>
        <w:t>EU will now face the same ETS, emission</w:t>
      </w:r>
      <w:r>
        <w:rPr>
          <w:rFonts w:cstheme="minorHAnsi"/>
          <w:sz w:val="24"/>
          <w:szCs w:val="24"/>
        </w:rPr>
        <w:t>s</w:t>
      </w:r>
      <w:r w:rsidR="008323CF" w:rsidRPr="0089635F">
        <w:rPr>
          <w:rFonts w:cstheme="minorHAnsi"/>
          <w:sz w:val="24"/>
          <w:szCs w:val="24"/>
        </w:rPr>
        <w:t xml:space="preserve"> caps and prices without the experience or benefits of an extended period of adaptation</w:t>
      </w:r>
      <w:r w:rsidR="00900D2B">
        <w:rPr>
          <w:rFonts w:cstheme="minorHAnsi"/>
          <w:sz w:val="24"/>
          <w:szCs w:val="24"/>
        </w:rPr>
        <w:t>,</w:t>
      </w:r>
      <w:r w:rsidR="008323CF">
        <w:rPr>
          <w:rFonts w:cstheme="minorHAnsi"/>
          <w:sz w:val="24"/>
          <w:szCs w:val="24"/>
        </w:rPr>
        <w:t xml:space="preserve"> technology</w:t>
      </w:r>
      <w:r w:rsidR="00900D2B">
        <w:rPr>
          <w:rFonts w:cstheme="minorHAnsi"/>
          <w:sz w:val="24"/>
          <w:szCs w:val="24"/>
        </w:rPr>
        <w:t xml:space="preserve"> or</w:t>
      </w:r>
      <w:r w:rsidR="008323CF">
        <w:rPr>
          <w:rFonts w:cstheme="minorHAnsi"/>
          <w:sz w:val="24"/>
          <w:szCs w:val="24"/>
        </w:rPr>
        <w:t xml:space="preserve"> resources</w:t>
      </w:r>
      <w:bookmarkEnd w:id="4"/>
      <w:r w:rsidR="008323CF" w:rsidRPr="0089635F">
        <w:rPr>
          <w:rFonts w:cstheme="minorHAnsi"/>
          <w:sz w:val="24"/>
          <w:szCs w:val="24"/>
        </w:rPr>
        <w:t>.</w:t>
      </w:r>
      <w:r w:rsidR="008323CF">
        <w:rPr>
          <w:rFonts w:cstheme="minorHAnsi"/>
          <w:sz w:val="24"/>
          <w:szCs w:val="24"/>
        </w:rPr>
        <w:t xml:space="preserve"> </w:t>
      </w:r>
    </w:p>
    <w:p w14:paraId="61446681" w14:textId="77777777" w:rsidR="00A1716E" w:rsidRDefault="00A1716E" w:rsidP="00A1716E">
      <w:pPr>
        <w:spacing w:after="0" w:line="276" w:lineRule="auto"/>
        <w:jc w:val="both"/>
        <w:rPr>
          <w:rFonts w:cstheme="minorHAnsi"/>
          <w:sz w:val="24"/>
          <w:szCs w:val="24"/>
        </w:rPr>
      </w:pPr>
    </w:p>
    <w:p w14:paraId="7E9E9033" w14:textId="2AC345CE" w:rsidR="008323CF" w:rsidRDefault="00DE48F5" w:rsidP="00A1716E">
      <w:pPr>
        <w:spacing w:after="0" w:line="276" w:lineRule="auto"/>
        <w:jc w:val="both"/>
        <w:rPr>
          <w:rFonts w:cstheme="minorHAnsi"/>
          <w:sz w:val="24"/>
          <w:szCs w:val="24"/>
        </w:rPr>
      </w:pPr>
      <w:r w:rsidRPr="00DE48F5">
        <w:rPr>
          <w:rFonts w:cstheme="minorHAnsi"/>
          <w:sz w:val="24"/>
          <w:szCs w:val="24"/>
        </w:rPr>
        <w:t xml:space="preserve">The CBAM is intended to create a level playing field between EU producers subject to the ETS and non-EU producers not subject to the ETS. However, </w:t>
      </w:r>
      <w:proofErr w:type="gramStart"/>
      <w:r w:rsidRPr="00DE48F5">
        <w:rPr>
          <w:rFonts w:cstheme="minorHAnsi"/>
          <w:sz w:val="24"/>
          <w:szCs w:val="24"/>
        </w:rPr>
        <w:t>in reality, it</w:t>
      </w:r>
      <w:proofErr w:type="gramEnd"/>
      <w:r w:rsidRPr="00DE48F5">
        <w:rPr>
          <w:rFonts w:cstheme="minorHAnsi"/>
          <w:sz w:val="24"/>
          <w:szCs w:val="24"/>
        </w:rPr>
        <w:t xml:space="preserve"> instead exacerbates inequalities between industrial actors coming from disparate and unequal situations.</w:t>
      </w:r>
      <w:r>
        <w:rPr>
          <w:rFonts w:cstheme="minorHAnsi"/>
          <w:sz w:val="24"/>
          <w:szCs w:val="24"/>
        </w:rPr>
        <w:t xml:space="preserve"> </w:t>
      </w:r>
      <w:r w:rsidR="008323CF" w:rsidRPr="00375CC3">
        <w:rPr>
          <w:rFonts w:cstheme="minorHAnsi"/>
          <w:sz w:val="24"/>
          <w:szCs w:val="24"/>
        </w:rPr>
        <w:t xml:space="preserve">It pits </w:t>
      </w:r>
      <w:r w:rsidR="008323CF" w:rsidRPr="00375CC3">
        <w:rPr>
          <w:rFonts w:cstheme="minorHAnsi"/>
          <w:sz w:val="24"/>
          <w:szCs w:val="24"/>
        </w:rPr>
        <w:lastRenderedPageBreak/>
        <w:t>the EU’s emissions-evolved</w:t>
      </w:r>
      <w:r w:rsidR="0015248B">
        <w:rPr>
          <w:rFonts w:cstheme="minorHAnsi"/>
          <w:sz w:val="24"/>
          <w:szCs w:val="24"/>
        </w:rPr>
        <w:t>, free allowances</w:t>
      </w:r>
      <w:r w:rsidR="00126EB9">
        <w:rPr>
          <w:rFonts w:cstheme="minorHAnsi"/>
          <w:sz w:val="24"/>
          <w:szCs w:val="24"/>
        </w:rPr>
        <w:t>–</w:t>
      </w:r>
      <w:r w:rsidR="0015248B">
        <w:rPr>
          <w:rFonts w:cstheme="minorHAnsi"/>
          <w:sz w:val="24"/>
          <w:szCs w:val="24"/>
        </w:rPr>
        <w:t xml:space="preserve">rich </w:t>
      </w:r>
      <w:r w:rsidR="008323CF" w:rsidRPr="00375CC3">
        <w:rPr>
          <w:rFonts w:cstheme="minorHAnsi"/>
          <w:sz w:val="24"/>
          <w:szCs w:val="24"/>
        </w:rPr>
        <w:t>industry against developing</w:t>
      </w:r>
      <w:r w:rsidR="00126EB9">
        <w:rPr>
          <w:rFonts w:cstheme="minorHAnsi"/>
          <w:sz w:val="24"/>
          <w:szCs w:val="24"/>
        </w:rPr>
        <w:t>-</w:t>
      </w:r>
      <w:r w:rsidR="008323CF" w:rsidRPr="00375CC3">
        <w:rPr>
          <w:rFonts w:cstheme="minorHAnsi"/>
          <w:sz w:val="24"/>
          <w:szCs w:val="24"/>
        </w:rPr>
        <w:t xml:space="preserve">country </w:t>
      </w:r>
      <w:r w:rsidR="00ED2C18">
        <w:rPr>
          <w:rFonts w:cstheme="minorHAnsi"/>
          <w:sz w:val="24"/>
          <w:szCs w:val="24"/>
        </w:rPr>
        <w:t>industry which has zero exposure to carbon emissions reductions and trading.</w:t>
      </w:r>
    </w:p>
    <w:p w14:paraId="39322313" w14:textId="77777777" w:rsidR="00A1716E" w:rsidRDefault="00A1716E" w:rsidP="00A1716E">
      <w:pPr>
        <w:spacing w:after="0" w:line="276" w:lineRule="auto"/>
        <w:jc w:val="both"/>
        <w:rPr>
          <w:rFonts w:cstheme="minorHAnsi"/>
          <w:sz w:val="24"/>
          <w:szCs w:val="24"/>
        </w:rPr>
      </w:pPr>
    </w:p>
    <w:p w14:paraId="49FC9C2C" w14:textId="4A0DA482" w:rsidR="00EE2E82" w:rsidRDefault="008323CF" w:rsidP="00A1716E">
      <w:pPr>
        <w:spacing w:after="0" w:line="276" w:lineRule="auto"/>
        <w:jc w:val="both"/>
        <w:rPr>
          <w:rFonts w:cstheme="minorHAnsi"/>
          <w:sz w:val="24"/>
          <w:szCs w:val="24"/>
        </w:rPr>
      </w:pPr>
      <w:r w:rsidRPr="0089635F">
        <w:rPr>
          <w:rFonts w:cstheme="minorHAnsi"/>
          <w:sz w:val="24"/>
          <w:szCs w:val="24"/>
        </w:rPr>
        <w:t xml:space="preserve">These </w:t>
      </w:r>
      <w:r w:rsidR="00126EB9">
        <w:rPr>
          <w:rFonts w:cstheme="minorHAnsi"/>
          <w:sz w:val="24"/>
          <w:szCs w:val="24"/>
        </w:rPr>
        <w:t xml:space="preserve">developing </w:t>
      </w:r>
      <w:r w:rsidRPr="0089635F">
        <w:rPr>
          <w:rFonts w:cstheme="minorHAnsi"/>
          <w:sz w:val="24"/>
          <w:szCs w:val="24"/>
        </w:rPr>
        <w:t xml:space="preserve">countries will have to set up </w:t>
      </w:r>
      <w:r>
        <w:rPr>
          <w:rFonts w:cstheme="minorHAnsi"/>
          <w:sz w:val="24"/>
          <w:szCs w:val="24"/>
        </w:rPr>
        <w:t>an</w:t>
      </w:r>
      <w:r w:rsidRPr="0089635F">
        <w:rPr>
          <w:rFonts w:cstheme="minorHAnsi"/>
          <w:sz w:val="24"/>
          <w:szCs w:val="24"/>
        </w:rPr>
        <w:t xml:space="preserve"> MRV mechanism for emissions.  Implementation of such mechanisms will require financial and administrative capacities which </w:t>
      </w:r>
      <w:r w:rsidR="00145364">
        <w:rPr>
          <w:rFonts w:cstheme="minorHAnsi"/>
          <w:sz w:val="24"/>
          <w:szCs w:val="24"/>
        </w:rPr>
        <w:t>many of these</w:t>
      </w:r>
      <w:r w:rsidRPr="0089635F">
        <w:rPr>
          <w:rFonts w:cstheme="minorHAnsi"/>
          <w:sz w:val="24"/>
          <w:szCs w:val="24"/>
        </w:rPr>
        <w:t xml:space="preserve"> countries do not possess.  </w:t>
      </w:r>
      <w:r w:rsidR="008A0A69">
        <w:rPr>
          <w:rFonts w:cstheme="minorHAnsi"/>
          <w:sz w:val="24"/>
          <w:szCs w:val="24"/>
        </w:rPr>
        <w:t>Should these countries</w:t>
      </w:r>
      <w:r w:rsidR="001737E4">
        <w:rPr>
          <w:rFonts w:cstheme="minorHAnsi"/>
          <w:sz w:val="24"/>
          <w:szCs w:val="24"/>
        </w:rPr>
        <w:t>’ industry</w:t>
      </w:r>
      <w:r w:rsidR="008A0A69">
        <w:rPr>
          <w:rFonts w:cstheme="minorHAnsi"/>
          <w:sz w:val="24"/>
          <w:szCs w:val="24"/>
        </w:rPr>
        <w:t xml:space="preserve"> </w:t>
      </w:r>
      <w:r w:rsidR="00126EB9">
        <w:rPr>
          <w:rFonts w:cstheme="minorHAnsi"/>
          <w:sz w:val="24"/>
          <w:szCs w:val="24"/>
        </w:rPr>
        <w:t xml:space="preserve">not </w:t>
      </w:r>
      <w:r w:rsidR="008A0A69">
        <w:rPr>
          <w:rFonts w:cstheme="minorHAnsi"/>
          <w:sz w:val="24"/>
          <w:szCs w:val="24"/>
        </w:rPr>
        <w:t>also be entitled</w:t>
      </w:r>
      <w:r w:rsidRPr="0089635F">
        <w:rPr>
          <w:rFonts w:cstheme="minorHAnsi"/>
          <w:sz w:val="24"/>
          <w:szCs w:val="24"/>
        </w:rPr>
        <w:t xml:space="preserve"> </w:t>
      </w:r>
      <w:r w:rsidR="008A0A69">
        <w:rPr>
          <w:rFonts w:cstheme="minorHAnsi"/>
          <w:sz w:val="24"/>
          <w:szCs w:val="24"/>
        </w:rPr>
        <w:t xml:space="preserve">to free allowances for </w:t>
      </w:r>
      <w:r w:rsidR="00126EB9">
        <w:rPr>
          <w:rFonts w:cstheme="minorHAnsi"/>
          <w:sz w:val="24"/>
          <w:szCs w:val="24"/>
        </w:rPr>
        <w:t>the first</w:t>
      </w:r>
      <w:r w:rsidR="008A0A69">
        <w:rPr>
          <w:rFonts w:cstheme="minorHAnsi"/>
          <w:sz w:val="24"/>
          <w:szCs w:val="24"/>
        </w:rPr>
        <w:t xml:space="preserve"> few years</w:t>
      </w:r>
      <w:r w:rsidR="0015248B">
        <w:rPr>
          <w:rFonts w:cstheme="minorHAnsi"/>
          <w:sz w:val="24"/>
          <w:szCs w:val="24"/>
        </w:rPr>
        <w:t xml:space="preserve">, just as EU industry will receive over </w:t>
      </w:r>
      <w:r w:rsidR="00126EB9">
        <w:rPr>
          <w:rFonts w:cstheme="minorHAnsi"/>
          <w:sz w:val="24"/>
          <w:szCs w:val="24"/>
        </w:rPr>
        <w:t>€</w:t>
      </w:r>
      <w:r w:rsidR="0015248B">
        <w:rPr>
          <w:rFonts w:cstheme="minorHAnsi"/>
          <w:sz w:val="24"/>
          <w:szCs w:val="24"/>
        </w:rPr>
        <w:t>400 b</w:t>
      </w:r>
      <w:r w:rsidR="00126EB9">
        <w:rPr>
          <w:rFonts w:cstheme="minorHAnsi"/>
          <w:sz w:val="24"/>
          <w:szCs w:val="24"/>
        </w:rPr>
        <w:t>illio</w:t>
      </w:r>
      <w:r w:rsidR="0015248B">
        <w:rPr>
          <w:rFonts w:cstheme="minorHAnsi"/>
          <w:sz w:val="24"/>
          <w:szCs w:val="24"/>
        </w:rPr>
        <w:t>n in free allowances till 2030?</w:t>
      </w:r>
    </w:p>
    <w:p w14:paraId="4C5DFCA1" w14:textId="77777777" w:rsidR="00A1716E" w:rsidRDefault="00A1716E" w:rsidP="00A1716E">
      <w:pPr>
        <w:spacing w:after="0" w:line="276" w:lineRule="auto"/>
        <w:jc w:val="both"/>
        <w:rPr>
          <w:rFonts w:cstheme="minorHAnsi"/>
          <w:sz w:val="24"/>
          <w:szCs w:val="24"/>
        </w:rPr>
      </w:pPr>
    </w:p>
    <w:p w14:paraId="0FB031D3" w14:textId="66A425B0" w:rsidR="00395BF6" w:rsidRDefault="00395BF6" w:rsidP="00A1716E">
      <w:pPr>
        <w:pBdr>
          <w:bottom w:val="single" w:sz="6" w:space="1" w:color="auto"/>
        </w:pBdr>
        <w:spacing w:after="0" w:line="276" w:lineRule="auto"/>
        <w:jc w:val="both"/>
        <w:rPr>
          <w:rFonts w:cstheme="minorHAnsi"/>
          <w:sz w:val="24"/>
          <w:szCs w:val="24"/>
        </w:rPr>
      </w:pPr>
      <w:r>
        <w:rPr>
          <w:rFonts w:cstheme="minorHAnsi"/>
          <w:sz w:val="24"/>
          <w:szCs w:val="24"/>
        </w:rPr>
        <w:t xml:space="preserve">Such a large scale of free allowances raises questions </w:t>
      </w:r>
      <w:r w:rsidR="00126EB9">
        <w:rPr>
          <w:rFonts w:cstheme="minorHAnsi"/>
          <w:sz w:val="24"/>
          <w:szCs w:val="24"/>
        </w:rPr>
        <w:t xml:space="preserve">as to </w:t>
      </w:r>
      <w:r>
        <w:rPr>
          <w:rFonts w:cstheme="minorHAnsi"/>
          <w:sz w:val="24"/>
          <w:szCs w:val="24"/>
        </w:rPr>
        <w:t xml:space="preserve">whether </w:t>
      </w:r>
      <w:r w:rsidR="00126EB9">
        <w:rPr>
          <w:rFonts w:cstheme="minorHAnsi"/>
          <w:sz w:val="24"/>
          <w:szCs w:val="24"/>
        </w:rPr>
        <w:t xml:space="preserve">the </w:t>
      </w:r>
      <w:r>
        <w:rPr>
          <w:rFonts w:cstheme="minorHAnsi"/>
          <w:sz w:val="24"/>
          <w:szCs w:val="24"/>
        </w:rPr>
        <w:t xml:space="preserve">CBAM really </w:t>
      </w:r>
      <w:r w:rsidR="00126EB9">
        <w:rPr>
          <w:rFonts w:cstheme="minorHAnsi"/>
          <w:sz w:val="24"/>
          <w:szCs w:val="24"/>
        </w:rPr>
        <w:t xml:space="preserve">is </w:t>
      </w:r>
      <w:r>
        <w:rPr>
          <w:rFonts w:cstheme="minorHAnsi"/>
          <w:sz w:val="24"/>
          <w:szCs w:val="24"/>
        </w:rPr>
        <w:t xml:space="preserve">a carbon emissions reduction measure. Why would </w:t>
      </w:r>
      <w:r w:rsidR="00126EB9">
        <w:rPr>
          <w:rFonts w:cstheme="minorHAnsi"/>
          <w:sz w:val="24"/>
          <w:szCs w:val="24"/>
        </w:rPr>
        <w:t xml:space="preserve">the </w:t>
      </w:r>
      <w:r>
        <w:rPr>
          <w:rFonts w:cstheme="minorHAnsi"/>
          <w:sz w:val="24"/>
          <w:szCs w:val="24"/>
        </w:rPr>
        <w:t xml:space="preserve">EU continue to subsidise the emissions of its industry if it were focused on emissions reduction? </w:t>
      </w:r>
      <w:r w:rsidR="00AA2226">
        <w:rPr>
          <w:rFonts w:cstheme="minorHAnsi"/>
          <w:sz w:val="24"/>
          <w:szCs w:val="24"/>
        </w:rPr>
        <w:t>By heavily</w:t>
      </w:r>
      <w:r>
        <w:rPr>
          <w:rFonts w:cstheme="minorHAnsi"/>
          <w:sz w:val="24"/>
          <w:szCs w:val="24"/>
        </w:rPr>
        <w:t xml:space="preserve"> subsidising its own</w:t>
      </w:r>
      <w:r w:rsidR="00AA2226">
        <w:rPr>
          <w:rFonts w:cstheme="minorHAnsi"/>
          <w:sz w:val="24"/>
          <w:szCs w:val="24"/>
        </w:rPr>
        <w:t xml:space="preserve"> emissions</w:t>
      </w:r>
      <w:r>
        <w:rPr>
          <w:rFonts w:cstheme="minorHAnsi"/>
          <w:sz w:val="24"/>
          <w:szCs w:val="24"/>
        </w:rPr>
        <w:t>, while taxing and penalising those of its imports</w:t>
      </w:r>
      <w:r w:rsidR="00AA2226">
        <w:rPr>
          <w:rFonts w:cstheme="minorHAnsi"/>
          <w:sz w:val="24"/>
          <w:szCs w:val="24"/>
        </w:rPr>
        <w:t xml:space="preserve">, </w:t>
      </w:r>
      <w:r w:rsidR="00126EB9">
        <w:rPr>
          <w:rFonts w:cstheme="minorHAnsi"/>
          <w:sz w:val="24"/>
          <w:szCs w:val="24"/>
        </w:rPr>
        <w:t xml:space="preserve">the </w:t>
      </w:r>
      <w:r w:rsidR="00AA2226">
        <w:rPr>
          <w:rFonts w:cstheme="minorHAnsi"/>
          <w:sz w:val="24"/>
          <w:szCs w:val="24"/>
        </w:rPr>
        <w:t xml:space="preserve">EU </w:t>
      </w:r>
      <w:r w:rsidR="00FE56FE">
        <w:rPr>
          <w:rFonts w:cstheme="minorHAnsi"/>
          <w:sz w:val="24"/>
          <w:szCs w:val="24"/>
        </w:rPr>
        <w:t xml:space="preserve">has </w:t>
      </w:r>
      <w:r w:rsidR="00AA2226">
        <w:rPr>
          <w:rFonts w:cstheme="minorHAnsi"/>
          <w:sz w:val="24"/>
          <w:szCs w:val="24"/>
        </w:rPr>
        <w:t>embarked on an ambitious protectionist path under the guise of climate action</w:t>
      </w:r>
      <w:r w:rsidR="00FE56FE">
        <w:rPr>
          <w:rFonts w:cstheme="minorHAnsi"/>
          <w:sz w:val="24"/>
          <w:szCs w:val="24"/>
        </w:rPr>
        <w:t>.</w:t>
      </w:r>
    </w:p>
    <w:p w14:paraId="2FFAD483" w14:textId="77777777" w:rsidR="000F5B26" w:rsidRDefault="000F5B26" w:rsidP="00A1716E">
      <w:pPr>
        <w:pBdr>
          <w:bottom w:val="single" w:sz="6" w:space="1" w:color="auto"/>
        </w:pBdr>
        <w:spacing w:after="0" w:line="276" w:lineRule="auto"/>
        <w:jc w:val="both"/>
        <w:rPr>
          <w:rFonts w:cstheme="minorHAnsi"/>
          <w:sz w:val="24"/>
          <w:szCs w:val="24"/>
        </w:rPr>
      </w:pPr>
    </w:p>
    <w:p w14:paraId="2BC39402" w14:textId="5448D660" w:rsidR="006E47B4" w:rsidRDefault="00AA2226" w:rsidP="00A1716E">
      <w:pPr>
        <w:spacing w:after="0" w:line="276" w:lineRule="auto"/>
        <w:jc w:val="both"/>
        <w:rPr>
          <w:rFonts w:cstheme="minorHAnsi"/>
          <w:sz w:val="24"/>
          <w:szCs w:val="24"/>
        </w:rPr>
      </w:pPr>
      <w:r w:rsidRPr="002E0878">
        <w:rPr>
          <w:rFonts w:cstheme="minorHAnsi"/>
          <w:b/>
          <w:bCs/>
          <w:sz w:val="24"/>
          <w:szCs w:val="24"/>
        </w:rPr>
        <w:t>Sangeeta Godbole</w:t>
      </w:r>
      <w:r w:rsidR="000F5B26">
        <w:rPr>
          <w:rFonts w:cstheme="minorHAnsi"/>
          <w:b/>
          <w:bCs/>
          <w:sz w:val="24"/>
          <w:szCs w:val="24"/>
        </w:rPr>
        <w:t xml:space="preserve"> </w:t>
      </w:r>
      <w:r w:rsidRPr="000F5B26">
        <w:rPr>
          <w:i/>
          <w:iCs/>
          <w:sz w:val="24"/>
          <w:szCs w:val="24"/>
        </w:rPr>
        <w:t>is a former officer</w:t>
      </w:r>
      <w:r w:rsidR="000F5B26">
        <w:rPr>
          <w:i/>
          <w:iCs/>
          <w:sz w:val="24"/>
          <w:szCs w:val="24"/>
        </w:rPr>
        <w:t xml:space="preserve"> with the Indian Revenue Service (IRS)</w:t>
      </w:r>
      <w:r w:rsidRPr="000F5B26">
        <w:rPr>
          <w:i/>
          <w:iCs/>
          <w:sz w:val="24"/>
          <w:szCs w:val="24"/>
        </w:rPr>
        <w:t>. Her research interests lie in the trade and environment intersection.</w:t>
      </w:r>
    </w:p>
    <w:p w14:paraId="0CEDEA8B" w14:textId="77777777" w:rsidR="006E47B4" w:rsidRDefault="006E47B4" w:rsidP="00A1716E">
      <w:pPr>
        <w:spacing w:after="0" w:line="276" w:lineRule="auto"/>
        <w:jc w:val="both"/>
        <w:rPr>
          <w:rFonts w:cstheme="minorHAnsi"/>
          <w:sz w:val="24"/>
          <w:szCs w:val="24"/>
        </w:rPr>
      </w:pPr>
    </w:p>
    <w:p w14:paraId="554ECC3A" w14:textId="77777777" w:rsidR="006E47B4" w:rsidRDefault="006E47B4" w:rsidP="00A1716E">
      <w:pPr>
        <w:spacing w:after="0" w:line="276" w:lineRule="auto"/>
        <w:jc w:val="both"/>
        <w:rPr>
          <w:rFonts w:cstheme="minorHAnsi"/>
          <w:sz w:val="24"/>
          <w:szCs w:val="24"/>
        </w:rPr>
      </w:pPr>
    </w:p>
    <w:p w14:paraId="03AD9FA5" w14:textId="77777777" w:rsidR="006E47B4" w:rsidRDefault="006E47B4" w:rsidP="00A1716E">
      <w:pPr>
        <w:spacing w:after="0" w:line="276" w:lineRule="auto"/>
        <w:jc w:val="both"/>
        <w:rPr>
          <w:rFonts w:cstheme="minorHAnsi"/>
          <w:sz w:val="24"/>
          <w:szCs w:val="24"/>
        </w:rPr>
      </w:pPr>
    </w:p>
    <w:p w14:paraId="1C372D29" w14:textId="77777777" w:rsidR="00ED2C18" w:rsidRDefault="00ED2C18" w:rsidP="00A1716E">
      <w:pPr>
        <w:spacing w:after="0" w:line="276" w:lineRule="auto"/>
        <w:jc w:val="center"/>
        <w:rPr>
          <w:rFonts w:cstheme="minorHAnsi"/>
          <w:sz w:val="24"/>
          <w:szCs w:val="24"/>
        </w:rPr>
      </w:pPr>
    </w:p>
    <w:sectPr w:rsidR="00ED2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5215E"/>
    <w:multiLevelType w:val="hybridMultilevel"/>
    <w:tmpl w:val="EB5AA2F0"/>
    <w:lvl w:ilvl="0" w:tplc="1F4ABA70">
      <w:numFmt w:val="bullet"/>
      <w:lvlText w:val="-"/>
      <w:lvlJc w:val="left"/>
      <w:pPr>
        <w:ind w:left="468" w:hanging="360"/>
      </w:pPr>
      <w:rPr>
        <w:rFonts w:ascii="Calibri" w:eastAsiaTheme="minorHAnsi" w:hAnsi="Calibri" w:cs="Calibri" w:hint="default"/>
      </w:rPr>
    </w:lvl>
    <w:lvl w:ilvl="1" w:tplc="40090003" w:tentative="1">
      <w:start w:val="1"/>
      <w:numFmt w:val="bullet"/>
      <w:lvlText w:val="o"/>
      <w:lvlJc w:val="left"/>
      <w:pPr>
        <w:ind w:left="1188" w:hanging="360"/>
      </w:pPr>
      <w:rPr>
        <w:rFonts w:ascii="Courier New" w:hAnsi="Courier New" w:cs="Courier New" w:hint="default"/>
      </w:rPr>
    </w:lvl>
    <w:lvl w:ilvl="2" w:tplc="40090005" w:tentative="1">
      <w:start w:val="1"/>
      <w:numFmt w:val="bullet"/>
      <w:lvlText w:val=""/>
      <w:lvlJc w:val="left"/>
      <w:pPr>
        <w:ind w:left="1908" w:hanging="360"/>
      </w:pPr>
      <w:rPr>
        <w:rFonts w:ascii="Wingdings" w:hAnsi="Wingdings" w:hint="default"/>
      </w:rPr>
    </w:lvl>
    <w:lvl w:ilvl="3" w:tplc="40090001" w:tentative="1">
      <w:start w:val="1"/>
      <w:numFmt w:val="bullet"/>
      <w:lvlText w:val=""/>
      <w:lvlJc w:val="left"/>
      <w:pPr>
        <w:ind w:left="2628" w:hanging="360"/>
      </w:pPr>
      <w:rPr>
        <w:rFonts w:ascii="Symbol" w:hAnsi="Symbol" w:hint="default"/>
      </w:rPr>
    </w:lvl>
    <w:lvl w:ilvl="4" w:tplc="40090003" w:tentative="1">
      <w:start w:val="1"/>
      <w:numFmt w:val="bullet"/>
      <w:lvlText w:val="o"/>
      <w:lvlJc w:val="left"/>
      <w:pPr>
        <w:ind w:left="3348" w:hanging="360"/>
      </w:pPr>
      <w:rPr>
        <w:rFonts w:ascii="Courier New" w:hAnsi="Courier New" w:cs="Courier New" w:hint="default"/>
      </w:rPr>
    </w:lvl>
    <w:lvl w:ilvl="5" w:tplc="40090005" w:tentative="1">
      <w:start w:val="1"/>
      <w:numFmt w:val="bullet"/>
      <w:lvlText w:val=""/>
      <w:lvlJc w:val="left"/>
      <w:pPr>
        <w:ind w:left="4068" w:hanging="360"/>
      </w:pPr>
      <w:rPr>
        <w:rFonts w:ascii="Wingdings" w:hAnsi="Wingdings" w:hint="default"/>
      </w:rPr>
    </w:lvl>
    <w:lvl w:ilvl="6" w:tplc="40090001" w:tentative="1">
      <w:start w:val="1"/>
      <w:numFmt w:val="bullet"/>
      <w:lvlText w:val=""/>
      <w:lvlJc w:val="left"/>
      <w:pPr>
        <w:ind w:left="4788" w:hanging="360"/>
      </w:pPr>
      <w:rPr>
        <w:rFonts w:ascii="Symbol" w:hAnsi="Symbol" w:hint="default"/>
      </w:rPr>
    </w:lvl>
    <w:lvl w:ilvl="7" w:tplc="40090003" w:tentative="1">
      <w:start w:val="1"/>
      <w:numFmt w:val="bullet"/>
      <w:lvlText w:val="o"/>
      <w:lvlJc w:val="left"/>
      <w:pPr>
        <w:ind w:left="5508" w:hanging="360"/>
      </w:pPr>
      <w:rPr>
        <w:rFonts w:ascii="Courier New" w:hAnsi="Courier New" w:cs="Courier New" w:hint="default"/>
      </w:rPr>
    </w:lvl>
    <w:lvl w:ilvl="8" w:tplc="40090005" w:tentative="1">
      <w:start w:val="1"/>
      <w:numFmt w:val="bullet"/>
      <w:lvlText w:val=""/>
      <w:lvlJc w:val="left"/>
      <w:pPr>
        <w:ind w:left="6228" w:hanging="360"/>
      </w:pPr>
      <w:rPr>
        <w:rFonts w:ascii="Wingdings" w:hAnsi="Wingdings" w:hint="default"/>
      </w:rPr>
    </w:lvl>
  </w:abstractNum>
  <w:abstractNum w:abstractNumId="1" w15:restartNumberingAfterBreak="0">
    <w:nsid w:val="683175CB"/>
    <w:multiLevelType w:val="multilevel"/>
    <w:tmpl w:val="320A37C8"/>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heme="minorHAnsi" w:hAnsiTheme="minorHAnsi" w:cstheme="minorHAnsi" w:hint="default"/>
        <w:i w:val="0"/>
        <w:i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17737686">
    <w:abstractNumId w:val="1"/>
  </w:num>
  <w:num w:numId="2" w16cid:durableId="1578901522">
    <w:abstractNumId w:val="0"/>
  </w:num>
  <w:num w:numId="3" w16cid:durableId="677585651">
    <w:abstractNumId w:val="1"/>
  </w:num>
  <w:num w:numId="4" w16cid:durableId="1729114200">
    <w:abstractNumId w:val="1"/>
  </w:num>
  <w:num w:numId="5" w16cid:durableId="2144425567">
    <w:abstractNumId w:val="1"/>
  </w:num>
  <w:num w:numId="6" w16cid:durableId="484855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06"/>
    <w:rsid w:val="00024C24"/>
    <w:rsid w:val="00027B44"/>
    <w:rsid w:val="000A0F6E"/>
    <w:rsid w:val="000F5B26"/>
    <w:rsid w:val="000F7759"/>
    <w:rsid w:val="00102C4D"/>
    <w:rsid w:val="00104172"/>
    <w:rsid w:val="00126EB9"/>
    <w:rsid w:val="001431BE"/>
    <w:rsid w:val="00145364"/>
    <w:rsid w:val="0015248B"/>
    <w:rsid w:val="00156732"/>
    <w:rsid w:val="001737E4"/>
    <w:rsid w:val="00194414"/>
    <w:rsid w:val="00222106"/>
    <w:rsid w:val="00224CF9"/>
    <w:rsid w:val="002529C0"/>
    <w:rsid w:val="002563D3"/>
    <w:rsid w:val="00267889"/>
    <w:rsid w:val="00276A77"/>
    <w:rsid w:val="002772B6"/>
    <w:rsid w:val="002B474C"/>
    <w:rsid w:val="002B5D40"/>
    <w:rsid w:val="002D3DB5"/>
    <w:rsid w:val="002E0878"/>
    <w:rsid w:val="002E6A2B"/>
    <w:rsid w:val="0031275C"/>
    <w:rsid w:val="003223D0"/>
    <w:rsid w:val="00337024"/>
    <w:rsid w:val="00347D41"/>
    <w:rsid w:val="00395BF6"/>
    <w:rsid w:val="003B24B6"/>
    <w:rsid w:val="003F78FC"/>
    <w:rsid w:val="004171B6"/>
    <w:rsid w:val="00420012"/>
    <w:rsid w:val="00446EE2"/>
    <w:rsid w:val="00476793"/>
    <w:rsid w:val="00490579"/>
    <w:rsid w:val="004C0A77"/>
    <w:rsid w:val="004C4D07"/>
    <w:rsid w:val="004F31CD"/>
    <w:rsid w:val="005040E8"/>
    <w:rsid w:val="005043E7"/>
    <w:rsid w:val="00565FC5"/>
    <w:rsid w:val="005D4D31"/>
    <w:rsid w:val="005E03BA"/>
    <w:rsid w:val="005F78F0"/>
    <w:rsid w:val="00624834"/>
    <w:rsid w:val="006B04D1"/>
    <w:rsid w:val="006C6B60"/>
    <w:rsid w:val="006E47B4"/>
    <w:rsid w:val="006E54BC"/>
    <w:rsid w:val="006F3CAE"/>
    <w:rsid w:val="00710513"/>
    <w:rsid w:val="007166D3"/>
    <w:rsid w:val="00742E33"/>
    <w:rsid w:val="00766290"/>
    <w:rsid w:val="007773F2"/>
    <w:rsid w:val="0081792E"/>
    <w:rsid w:val="00825B67"/>
    <w:rsid w:val="008323CF"/>
    <w:rsid w:val="008A0A69"/>
    <w:rsid w:val="008C09AE"/>
    <w:rsid w:val="008D6781"/>
    <w:rsid w:val="00900D2B"/>
    <w:rsid w:val="009044CC"/>
    <w:rsid w:val="00931912"/>
    <w:rsid w:val="00973272"/>
    <w:rsid w:val="009F6F74"/>
    <w:rsid w:val="00A014C9"/>
    <w:rsid w:val="00A1716E"/>
    <w:rsid w:val="00A37CD0"/>
    <w:rsid w:val="00A74661"/>
    <w:rsid w:val="00A83F34"/>
    <w:rsid w:val="00AA2226"/>
    <w:rsid w:val="00AB101D"/>
    <w:rsid w:val="00AB2C22"/>
    <w:rsid w:val="00AB4321"/>
    <w:rsid w:val="00AF12A0"/>
    <w:rsid w:val="00AF6283"/>
    <w:rsid w:val="00B138EA"/>
    <w:rsid w:val="00B179F4"/>
    <w:rsid w:val="00B260A1"/>
    <w:rsid w:val="00B37CC0"/>
    <w:rsid w:val="00B93A42"/>
    <w:rsid w:val="00BA1E51"/>
    <w:rsid w:val="00C00904"/>
    <w:rsid w:val="00CC0024"/>
    <w:rsid w:val="00CC4DC1"/>
    <w:rsid w:val="00CE74AB"/>
    <w:rsid w:val="00D13BE3"/>
    <w:rsid w:val="00D33E8D"/>
    <w:rsid w:val="00D635A3"/>
    <w:rsid w:val="00D82B7A"/>
    <w:rsid w:val="00DE48F5"/>
    <w:rsid w:val="00E57C4E"/>
    <w:rsid w:val="00E711DE"/>
    <w:rsid w:val="00E930E0"/>
    <w:rsid w:val="00EA4216"/>
    <w:rsid w:val="00EB61AE"/>
    <w:rsid w:val="00EC1D5F"/>
    <w:rsid w:val="00EC5890"/>
    <w:rsid w:val="00EC71BD"/>
    <w:rsid w:val="00ED2C18"/>
    <w:rsid w:val="00EE2E82"/>
    <w:rsid w:val="00F02657"/>
    <w:rsid w:val="00F25FBE"/>
    <w:rsid w:val="00F34DCC"/>
    <w:rsid w:val="00F403D5"/>
    <w:rsid w:val="00F51617"/>
    <w:rsid w:val="00FE257A"/>
    <w:rsid w:val="00FE56FE"/>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DC4E"/>
  <w15:chartTrackingRefBased/>
  <w15:docId w15:val="{F09CF2D9-B8F7-479C-9257-71F961E4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07"/>
  </w:style>
  <w:style w:type="paragraph" w:styleId="Heading1">
    <w:name w:val="heading 1"/>
    <w:basedOn w:val="Normal"/>
    <w:next w:val="Normal"/>
    <w:link w:val="Heading1Char"/>
    <w:uiPriority w:val="9"/>
    <w:qFormat/>
    <w:rsid w:val="004C4D07"/>
    <w:pPr>
      <w:keepNext/>
      <w:keepLines/>
      <w:numPr>
        <w:numId w:val="1"/>
      </w:numPr>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4C4D0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4D0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4D0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4D0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4D0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4D0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4D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4D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07"/>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4C4D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4D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C4D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C4D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4D0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4D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4D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4D0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C4D07"/>
    <w:rPr>
      <w:color w:val="0563C1" w:themeColor="hyperlink"/>
      <w:u w:val="single"/>
    </w:rPr>
  </w:style>
  <w:style w:type="paragraph" w:styleId="Caption">
    <w:name w:val="caption"/>
    <w:basedOn w:val="Normal"/>
    <w:next w:val="Normal"/>
    <w:uiPriority w:val="35"/>
    <w:unhideWhenUsed/>
    <w:qFormat/>
    <w:rsid w:val="004C4D07"/>
    <w:pPr>
      <w:spacing w:after="200" w:line="240" w:lineRule="auto"/>
    </w:pPr>
    <w:rPr>
      <w:i/>
      <w:iCs/>
      <w:color w:val="44546A" w:themeColor="text2"/>
      <w:sz w:val="18"/>
      <w:szCs w:val="18"/>
    </w:rPr>
  </w:style>
  <w:style w:type="table" w:styleId="TableGrid">
    <w:name w:val="Table Grid"/>
    <w:basedOn w:val="TableNormal"/>
    <w:uiPriority w:val="39"/>
    <w:rsid w:val="009F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4216"/>
    <w:rPr>
      <w:color w:val="954F72" w:themeColor="followedHyperlink"/>
      <w:u w:val="single"/>
    </w:rPr>
  </w:style>
  <w:style w:type="character" w:styleId="UnresolvedMention">
    <w:name w:val="Unresolved Mention"/>
    <w:basedOn w:val="DefaultParagraphFont"/>
    <w:uiPriority w:val="99"/>
    <w:semiHidden/>
    <w:unhideWhenUsed/>
    <w:rsid w:val="005E03BA"/>
    <w:rPr>
      <w:color w:val="605E5C"/>
      <w:shd w:val="clear" w:color="auto" w:fill="E1DFDD"/>
    </w:rPr>
  </w:style>
  <w:style w:type="paragraph" w:styleId="Revision">
    <w:name w:val="Revision"/>
    <w:hidden/>
    <w:uiPriority w:val="99"/>
    <w:semiHidden/>
    <w:rsid w:val="00145364"/>
    <w:pPr>
      <w:spacing w:after="0" w:line="240" w:lineRule="auto"/>
    </w:pPr>
  </w:style>
  <w:style w:type="character" w:styleId="CommentReference">
    <w:name w:val="annotation reference"/>
    <w:basedOn w:val="DefaultParagraphFont"/>
    <w:uiPriority w:val="99"/>
    <w:semiHidden/>
    <w:unhideWhenUsed/>
    <w:rsid w:val="00145364"/>
    <w:rPr>
      <w:sz w:val="16"/>
      <w:szCs w:val="16"/>
    </w:rPr>
  </w:style>
  <w:style w:type="paragraph" w:styleId="CommentText">
    <w:name w:val="annotation text"/>
    <w:basedOn w:val="Normal"/>
    <w:link w:val="CommentTextChar"/>
    <w:uiPriority w:val="99"/>
    <w:unhideWhenUsed/>
    <w:rsid w:val="00145364"/>
    <w:pPr>
      <w:spacing w:line="240" w:lineRule="auto"/>
    </w:pPr>
    <w:rPr>
      <w:sz w:val="20"/>
      <w:szCs w:val="20"/>
    </w:rPr>
  </w:style>
  <w:style w:type="character" w:customStyle="1" w:styleId="CommentTextChar">
    <w:name w:val="Comment Text Char"/>
    <w:basedOn w:val="DefaultParagraphFont"/>
    <w:link w:val="CommentText"/>
    <w:uiPriority w:val="99"/>
    <w:rsid w:val="00145364"/>
    <w:rPr>
      <w:sz w:val="20"/>
      <w:szCs w:val="20"/>
    </w:rPr>
  </w:style>
  <w:style w:type="paragraph" w:styleId="CommentSubject">
    <w:name w:val="annotation subject"/>
    <w:basedOn w:val="CommentText"/>
    <w:next w:val="CommentText"/>
    <w:link w:val="CommentSubjectChar"/>
    <w:uiPriority w:val="99"/>
    <w:semiHidden/>
    <w:unhideWhenUsed/>
    <w:rsid w:val="00145364"/>
    <w:rPr>
      <w:b/>
      <w:bCs/>
    </w:rPr>
  </w:style>
  <w:style w:type="character" w:customStyle="1" w:styleId="CommentSubjectChar">
    <w:name w:val="Comment Subject Char"/>
    <w:basedOn w:val="CommentTextChar"/>
    <w:link w:val="CommentSubject"/>
    <w:uiPriority w:val="99"/>
    <w:semiHidden/>
    <w:rsid w:val="001453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a.europa.eu/en/publications/sr20_18" TargetMode="External"/><Relationship Id="rId13" Type="http://schemas.openxmlformats.org/officeDocument/2006/relationships/hyperlink" Target="https://www.eea.europa.eu/data-and-maps/dashboards/emissions-trading-viewer-1" TargetMode="External"/><Relationship Id="rId18" Type="http://schemas.openxmlformats.org/officeDocument/2006/relationships/hyperlink" Target="https://www.emissionsauthority.nl/documents/publications/2016/03/22/impact-of-eu-ets-phase-iv-proposals-on-administrative-costs-and-quality-of-the-data-collection-process" TargetMode="External"/><Relationship Id="rId3" Type="http://schemas.openxmlformats.org/officeDocument/2006/relationships/styles" Target="styles.xml"/><Relationship Id="rId7" Type="http://schemas.openxmlformats.org/officeDocument/2006/relationships/hyperlink" Target="https://carbonmarketwatch.org/2023/02/03/state-aid-to-industry-lifeline-or-gravy-train/" TargetMode="External"/><Relationship Id="rId12" Type="http://schemas.openxmlformats.org/officeDocument/2006/relationships/image" Target="media/image1.png"/><Relationship Id="rId17" Type="http://schemas.openxmlformats.org/officeDocument/2006/relationships/hyperlink" Target="https://www.tandfonline.com/doi/abs/10.3763/cpol.2009.0659" TargetMode="External"/><Relationship Id="rId2" Type="http://schemas.openxmlformats.org/officeDocument/2006/relationships/numbering" Target="numbering.xml"/><Relationship Id="rId16" Type="http://schemas.openxmlformats.org/officeDocument/2006/relationships/hyperlink" Target="https://op.europa.eu/en/publication-detail/-/publication/f6a49ec5-c35c-11e6-a6db-01aa75ed71a1/language-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ur-lex.europa.eu/legal-content/EN/TXT/?uri=celex%3A52000DC0087" TargetMode="External"/><Relationship Id="rId11" Type="http://schemas.openxmlformats.org/officeDocument/2006/relationships/hyperlink" Target="https://eur-lex.europa.eu/legal-content/EN/TXT/PDF/?uri=CELEX:32019D0708&amp;from=EN" TargetMode="External"/><Relationship Id="rId5" Type="http://schemas.openxmlformats.org/officeDocument/2006/relationships/webSettings" Target="webSettings.xml"/><Relationship Id="rId15" Type="http://schemas.openxmlformats.org/officeDocument/2006/relationships/hyperlink" Target="https://www.eea.europa.eu/data-and-maps/dashboards/emissions-trading-viewer-1" TargetMode="External"/><Relationship Id="rId10" Type="http://schemas.openxmlformats.org/officeDocument/2006/relationships/hyperlink" Target="https://climate.ec.europa.eu/eu-action/eu-emissions-trading-system-eu-ets/emissions-cap-and-allowances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rbonmarketwatch.org/wp-content/uploads/2021/06/CE_Delft_Additional_Profits_ETS.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7F34-6AD0-4CBC-8274-3B98FD3A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Godbole</dc:creator>
  <cp:keywords/>
  <dc:description/>
  <cp:lastModifiedBy>Ka-Min</cp:lastModifiedBy>
  <cp:revision>6</cp:revision>
  <cp:lastPrinted>2024-04-03T02:36:00Z</cp:lastPrinted>
  <dcterms:created xsi:type="dcterms:W3CDTF">2024-04-05T01:10:00Z</dcterms:created>
  <dcterms:modified xsi:type="dcterms:W3CDTF">2024-04-05T05:26:00Z</dcterms:modified>
</cp:coreProperties>
</file>